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8EE" w:rsidRPr="008C3921" w:rsidRDefault="003958EE" w:rsidP="00816DED">
      <w:pPr>
        <w:spacing w:after="0" w:line="240" w:lineRule="auto"/>
        <w:ind w:left="-284" w:right="58"/>
        <w:jc w:val="center"/>
        <w:rPr>
          <w:rFonts w:ascii="Times New Roman" w:hAnsi="Times New Roman" w:cs="Times New Roman"/>
          <w:b/>
          <w:sz w:val="24"/>
          <w:szCs w:val="24"/>
        </w:rPr>
      </w:pPr>
      <w:r w:rsidRPr="008C3921">
        <w:rPr>
          <w:rFonts w:ascii="Times New Roman" w:hAnsi="Times New Roman" w:cs="Times New Roman"/>
          <w:b/>
          <w:sz w:val="24"/>
          <w:szCs w:val="24"/>
        </w:rPr>
        <w:t>Kőszeg Város Önkormányzata Képviselő-testületének</w:t>
      </w:r>
      <w:bookmarkStart w:id="0" w:name="_GoBack"/>
      <w:bookmarkEnd w:id="0"/>
    </w:p>
    <w:p w:rsidR="003958EE" w:rsidRPr="008C3921" w:rsidRDefault="003958EE" w:rsidP="00816DED">
      <w:pPr>
        <w:spacing w:after="0" w:line="240" w:lineRule="auto"/>
        <w:ind w:left="-284"/>
        <w:jc w:val="center"/>
        <w:rPr>
          <w:rFonts w:ascii="Times New Roman" w:hAnsi="Times New Roman" w:cs="Times New Roman"/>
          <w:b/>
          <w:sz w:val="24"/>
          <w:szCs w:val="24"/>
        </w:rPr>
      </w:pPr>
      <w:r w:rsidRPr="008C3921">
        <w:rPr>
          <w:rFonts w:ascii="Times New Roman" w:hAnsi="Times New Roman" w:cs="Times New Roman"/>
          <w:b/>
          <w:sz w:val="24"/>
          <w:szCs w:val="24"/>
        </w:rPr>
        <w:t>…</w:t>
      </w:r>
      <w:proofErr w:type="gramStart"/>
      <w:r w:rsidRPr="008C3921">
        <w:rPr>
          <w:rFonts w:ascii="Times New Roman" w:hAnsi="Times New Roman" w:cs="Times New Roman"/>
          <w:b/>
          <w:sz w:val="24"/>
          <w:szCs w:val="24"/>
        </w:rPr>
        <w:t>….</w:t>
      </w:r>
      <w:proofErr w:type="gramEnd"/>
      <w:r w:rsidRPr="008C3921">
        <w:rPr>
          <w:rFonts w:ascii="Times New Roman" w:hAnsi="Times New Roman" w:cs="Times New Roman"/>
          <w:b/>
          <w:sz w:val="24"/>
          <w:szCs w:val="24"/>
        </w:rPr>
        <w:t>/202</w:t>
      </w:r>
      <w:r w:rsidR="00AE71EF">
        <w:rPr>
          <w:rFonts w:ascii="Times New Roman" w:hAnsi="Times New Roman" w:cs="Times New Roman"/>
          <w:b/>
          <w:sz w:val="24"/>
          <w:szCs w:val="24"/>
        </w:rPr>
        <w:t>2</w:t>
      </w:r>
      <w:r w:rsidRPr="008C3921">
        <w:rPr>
          <w:rFonts w:ascii="Times New Roman" w:hAnsi="Times New Roman" w:cs="Times New Roman"/>
          <w:b/>
          <w:sz w:val="24"/>
          <w:szCs w:val="24"/>
        </w:rPr>
        <w:t>. (……..) önkormányzati rendelete</w:t>
      </w:r>
    </w:p>
    <w:p w:rsidR="003958EE" w:rsidRPr="008C3921" w:rsidRDefault="003958EE" w:rsidP="00816DED">
      <w:pPr>
        <w:spacing w:after="0" w:line="240" w:lineRule="auto"/>
        <w:ind w:left="22" w:right="58"/>
        <w:jc w:val="center"/>
        <w:rPr>
          <w:rFonts w:ascii="Times New Roman" w:hAnsi="Times New Roman" w:cs="Times New Roman"/>
          <w:b/>
          <w:sz w:val="24"/>
          <w:szCs w:val="24"/>
        </w:rPr>
      </w:pPr>
      <w:r w:rsidRPr="008C3921">
        <w:rPr>
          <w:rFonts w:ascii="Times New Roman" w:hAnsi="Times New Roman" w:cs="Times New Roman"/>
          <w:b/>
          <w:sz w:val="24"/>
          <w:szCs w:val="24"/>
        </w:rPr>
        <w:t>Kőszeg Város Helyi Építési Szabályzatáról szóló 33/2014. (X. 3.)</w:t>
      </w:r>
    </w:p>
    <w:p w:rsidR="003958EE" w:rsidRDefault="003958EE" w:rsidP="00816DED">
      <w:pPr>
        <w:spacing w:after="0" w:line="240" w:lineRule="auto"/>
        <w:ind w:left="22" w:right="58"/>
        <w:jc w:val="center"/>
        <w:rPr>
          <w:rFonts w:ascii="Times New Roman" w:hAnsi="Times New Roman" w:cs="Times New Roman"/>
          <w:b/>
          <w:sz w:val="24"/>
          <w:szCs w:val="24"/>
        </w:rPr>
      </w:pPr>
      <w:proofErr w:type="gramStart"/>
      <w:r w:rsidRPr="008C3921">
        <w:rPr>
          <w:rFonts w:ascii="Times New Roman" w:hAnsi="Times New Roman" w:cs="Times New Roman"/>
          <w:b/>
          <w:sz w:val="24"/>
          <w:szCs w:val="24"/>
        </w:rPr>
        <w:t>önkormányzati</w:t>
      </w:r>
      <w:proofErr w:type="gramEnd"/>
      <w:r w:rsidRPr="008C3921">
        <w:rPr>
          <w:rFonts w:ascii="Times New Roman" w:hAnsi="Times New Roman" w:cs="Times New Roman"/>
          <w:b/>
          <w:sz w:val="24"/>
          <w:szCs w:val="24"/>
        </w:rPr>
        <w:t xml:space="preserve"> rendelet módosításáról</w:t>
      </w:r>
    </w:p>
    <w:p w:rsidR="00CF5589" w:rsidRDefault="00CF5589" w:rsidP="00CF5589">
      <w:pPr>
        <w:spacing w:after="0" w:line="240" w:lineRule="auto"/>
        <w:ind w:left="22" w:right="58"/>
        <w:jc w:val="both"/>
        <w:rPr>
          <w:rFonts w:ascii="Times New Roman" w:hAnsi="Times New Roman" w:cs="Times New Roman"/>
          <w:b/>
          <w:sz w:val="24"/>
          <w:szCs w:val="24"/>
        </w:rPr>
      </w:pPr>
    </w:p>
    <w:p w:rsidR="00430079" w:rsidRDefault="00430079">
      <w:pPr>
        <w:spacing w:after="0" w:line="240" w:lineRule="auto"/>
        <w:ind w:left="22" w:right="58"/>
        <w:jc w:val="both"/>
        <w:rPr>
          <w:rFonts w:ascii="Times New Roman" w:hAnsi="Times New Roman" w:cs="Times New Roman"/>
          <w:b/>
          <w:sz w:val="24"/>
          <w:szCs w:val="24"/>
        </w:rPr>
      </w:pPr>
    </w:p>
    <w:p w:rsidR="00430079" w:rsidRDefault="00BF252B">
      <w:pPr>
        <w:autoSpaceDE w:val="0"/>
        <w:autoSpaceDN w:val="0"/>
        <w:adjustRightInd w:val="0"/>
        <w:spacing w:after="0" w:line="240" w:lineRule="auto"/>
        <w:ind w:left="-284"/>
        <w:jc w:val="both"/>
        <w:rPr>
          <w:rFonts w:ascii="Times New Roman" w:hAnsi="Times New Roman" w:cs="Times New Roman"/>
          <w:color w:val="000000"/>
          <w:sz w:val="24"/>
          <w:szCs w:val="24"/>
        </w:rPr>
      </w:pPr>
      <w:r w:rsidRPr="008C3921">
        <w:rPr>
          <w:rFonts w:ascii="Times New Roman" w:hAnsi="Times New Roman" w:cs="Times New Roman"/>
          <w:sz w:val="24"/>
          <w:szCs w:val="24"/>
        </w:rPr>
        <w:t>Kőszeg Város</w:t>
      </w:r>
      <w:r w:rsidR="00F41277" w:rsidRPr="008C3921">
        <w:rPr>
          <w:rFonts w:ascii="Times New Roman" w:hAnsi="Times New Roman" w:cs="Times New Roman"/>
          <w:sz w:val="24"/>
          <w:szCs w:val="24"/>
        </w:rPr>
        <w:t xml:space="preserve"> Önkormányzatának Képviselő-testülete az épített környezet alakításáról és védelméről szóló 1997. évi LXXVIII. törvény 62.§ (6) bekezdés 6. pontjában kapott felhatalmazás alapján, az Alaptörvény 32. cikk (1) bekezdés a) pontjában, a Magyarország helyi önkormányzatairól szóló 2011. évi CLXXXIX. törvény 13. § (1) bekezdés 1. pontjában, valamint az épített környezet alakításáról és védelméről szóló 1997. évi LXXVIII. törvény 13.§ (1) bekezdésben meghatározott feladatkörében eljárva, az épített környezet alakításáról és védelméről szóló 1997. évi LXXVIII. törvény 8.§ (2) bekezdésében biztosított véleményezési jogkörében</w:t>
      </w:r>
      <w:r w:rsidR="00F41277" w:rsidRPr="008C3921">
        <w:rPr>
          <w:rFonts w:ascii="Times New Roman" w:hAnsi="Times New Roman" w:cs="Times New Roman"/>
          <w:color w:val="FF0000"/>
          <w:sz w:val="24"/>
          <w:szCs w:val="24"/>
        </w:rPr>
        <w:t xml:space="preserve"> </w:t>
      </w:r>
      <w:r w:rsidR="00F41277" w:rsidRPr="008C3921">
        <w:rPr>
          <w:rFonts w:ascii="Times New Roman" w:hAnsi="Times New Roman" w:cs="Times New Roman"/>
          <w:sz w:val="24"/>
          <w:szCs w:val="24"/>
        </w:rPr>
        <w:t xml:space="preserve">eljáró szervek véleményének kikérésével </w:t>
      </w:r>
      <w:r w:rsidR="00F41277" w:rsidRPr="008C3921">
        <w:rPr>
          <w:rFonts w:ascii="Times New Roman" w:hAnsi="Times New Roman" w:cs="Times New Roman"/>
          <w:color w:val="000000"/>
          <w:sz w:val="24"/>
          <w:szCs w:val="24"/>
        </w:rPr>
        <w:t>a következőket rendeli el:</w:t>
      </w:r>
    </w:p>
    <w:p w:rsidR="00507809" w:rsidRDefault="00507809" w:rsidP="00816DED">
      <w:pPr>
        <w:spacing w:after="0" w:line="240" w:lineRule="auto"/>
        <w:jc w:val="center"/>
        <w:rPr>
          <w:rFonts w:ascii="Times New Roman" w:hAnsi="Times New Roman" w:cs="Times New Roman"/>
          <w:b/>
          <w:sz w:val="24"/>
          <w:szCs w:val="24"/>
        </w:rPr>
      </w:pPr>
    </w:p>
    <w:p w:rsidR="00BF252B" w:rsidRPr="008C3921" w:rsidRDefault="00BF252B" w:rsidP="00816DED">
      <w:pPr>
        <w:spacing w:after="0" w:line="240" w:lineRule="auto"/>
        <w:jc w:val="center"/>
        <w:rPr>
          <w:rFonts w:ascii="Times New Roman" w:hAnsi="Times New Roman" w:cs="Times New Roman"/>
          <w:b/>
          <w:sz w:val="24"/>
          <w:szCs w:val="24"/>
        </w:rPr>
      </w:pPr>
      <w:r w:rsidRPr="008C3921">
        <w:rPr>
          <w:rFonts w:ascii="Times New Roman" w:hAnsi="Times New Roman" w:cs="Times New Roman"/>
          <w:b/>
          <w:sz w:val="24"/>
          <w:szCs w:val="24"/>
        </w:rPr>
        <w:t>1.§</w:t>
      </w:r>
    </w:p>
    <w:p w:rsidR="00842BC8" w:rsidRPr="008C3921" w:rsidRDefault="00842BC8" w:rsidP="00816DED">
      <w:pPr>
        <w:spacing w:after="0" w:line="240" w:lineRule="auto"/>
        <w:rPr>
          <w:rFonts w:ascii="Times New Roman" w:hAnsi="Times New Roman" w:cs="Times New Roman"/>
          <w:sz w:val="24"/>
          <w:szCs w:val="24"/>
        </w:rPr>
      </w:pPr>
    </w:p>
    <w:p w:rsidR="00430079" w:rsidRDefault="003D2E3A">
      <w:pPr>
        <w:pStyle w:val="Nincstrkz"/>
        <w:numPr>
          <w:ilvl w:val="0"/>
          <w:numId w:val="1"/>
        </w:numPr>
        <w:ind w:left="-284" w:firstLine="0"/>
        <w:jc w:val="both"/>
        <w:rPr>
          <w:rFonts w:ascii="Times New Roman" w:hAnsi="Times New Roman"/>
          <w:sz w:val="24"/>
          <w:szCs w:val="24"/>
        </w:rPr>
      </w:pPr>
      <w:r>
        <w:rPr>
          <w:rFonts w:ascii="Times New Roman" w:hAnsi="Times New Roman"/>
          <w:sz w:val="24"/>
          <w:szCs w:val="24"/>
        </w:rPr>
        <w:t xml:space="preserve"> </w:t>
      </w:r>
      <w:r w:rsidR="0007501D" w:rsidRPr="008C3921">
        <w:rPr>
          <w:rFonts w:ascii="Times New Roman" w:hAnsi="Times New Roman"/>
          <w:sz w:val="24"/>
          <w:szCs w:val="24"/>
        </w:rPr>
        <w:t>Kőszeg Város Önkormányzata Képviselő-testületének Kőszeg Város Helyi Építési Szabályzatáról szóló 33/2014. (X.3.) önkormányzati rendelete (a továbbiakban: Rendelet) 7.§ (2) bekezdése helyébe a következő rendelkezés lép:</w:t>
      </w:r>
    </w:p>
    <w:p w:rsidR="00430079" w:rsidRDefault="00842BC8">
      <w:pPr>
        <w:pStyle w:val="Nincstrkz"/>
        <w:ind w:left="-142"/>
        <w:jc w:val="both"/>
        <w:rPr>
          <w:rFonts w:ascii="Times New Roman" w:hAnsi="Times New Roman"/>
          <w:sz w:val="24"/>
          <w:szCs w:val="24"/>
        </w:rPr>
      </w:pPr>
      <w:r>
        <w:rPr>
          <w:rFonts w:ascii="Times New Roman" w:hAnsi="Times New Roman"/>
          <w:sz w:val="24"/>
          <w:szCs w:val="24"/>
        </w:rPr>
        <w:t>„(</w:t>
      </w:r>
      <w:r w:rsidR="0007501D" w:rsidRPr="008C3921">
        <w:rPr>
          <w:rFonts w:ascii="Times New Roman" w:hAnsi="Times New Roman"/>
          <w:sz w:val="24"/>
          <w:szCs w:val="24"/>
        </w:rPr>
        <w:t xml:space="preserve">2) Az építési övezetek </w:t>
      </w:r>
      <w:r w:rsidR="007A3614" w:rsidRPr="008C3921">
        <w:rPr>
          <w:rFonts w:ascii="Times New Roman" w:hAnsi="Times New Roman"/>
          <w:sz w:val="24"/>
          <w:szCs w:val="24"/>
        </w:rPr>
        <w:t>területén meglévő épület átalakítása és új épület építése esetén a közterület fel</w:t>
      </w:r>
      <w:r w:rsidR="009E0FEF">
        <w:rPr>
          <w:rFonts w:ascii="Times New Roman" w:hAnsi="Times New Roman"/>
          <w:sz w:val="24"/>
          <w:szCs w:val="24"/>
        </w:rPr>
        <w:t>ő</w:t>
      </w:r>
      <w:r w:rsidR="007A3614" w:rsidRPr="008C3921">
        <w:rPr>
          <w:rFonts w:ascii="Times New Roman" w:hAnsi="Times New Roman"/>
          <w:sz w:val="24"/>
          <w:szCs w:val="24"/>
        </w:rPr>
        <w:t>li homlokzatmagasság, valamint oldalhatáron álló beépítés esetén a beépített oldalhatár homlokzatmagassága az előírt épületmagasságot csak 5%-nál nagyobb lejtős terepen és százalékonként</w:t>
      </w:r>
      <w:r w:rsidR="00271EF9" w:rsidRPr="008C3921">
        <w:rPr>
          <w:rFonts w:ascii="Times New Roman" w:hAnsi="Times New Roman"/>
          <w:sz w:val="24"/>
          <w:szCs w:val="24"/>
        </w:rPr>
        <w:t xml:space="preserve"> 10 </w:t>
      </w:r>
      <w:r w:rsidR="007A3614" w:rsidRPr="008C3921">
        <w:rPr>
          <w:rFonts w:ascii="Times New Roman" w:hAnsi="Times New Roman"/>
          <w:sz w:val="24"/>
          <w:szCs w:val="24"/>
        </w:rPr>
        <w:t>cm-el, de legfeljebb 1,5 m-el haladhatja meg. A homlokzatmagasság e</w:t>
      </w:r>
      <w:r w:rsidR="008C3921" w:rsidRPr="008C3921">
        <w:rPr>
          <w:rFonts w:ascii="Times New Roman" w:hAnsi="Times New Roman"/>
          <w:sz w:val="24"/>
          <w:szCs w:val="24"/>
        </w:rPr>
        <w:t>b</w:t>
      </w:r>
      <w:r w:rsidR="007A3614" w:rsidRPr="008C3921">
        <w:rPr>
          <w:rFonts w:ascii="Times New Roman" w:hAnsi="Times New Roman"/>
          <w:sz w:val="24"/>
          <w:szCs w:val="24"/>
        </w:rPr>
        <w:t xml:space="preserve">ben az esetben sem lehet nagyobb az </w:t>
      </w:r>
      <w:proofErr w:type="spellStart"/>
      <w:r w:rsidR="007A3614" w:rsidRPr="008C3921">
        <w:rPr>
          <w:rFonts w:ascii="Times New Roman" w:hAnsi="Times New Roman"/>
          <w:sz w:val="24"/>
          <w:szCs w:val="24"/>
        </w:rPr>
        <w:t>OTÉK-ban</w:t>
      </w:r>
      <w:proofErr w:type="spellEnd"/>
      <w:r w:rsidR="007A3614" w:rsidRPr="008C3921">
        <w:rPr>
          <w:rFonts w:ascii="Times New Roman" w:hAnsi="Times New Roman"/>
          <w:sz w:val="24"/>
          <w:szCs w:val="24"/>
        </w:rPr>
        <w:t xml:space="preserve"> megengedett legnagyobb beépítési magasságnál.</w:t>
      </w:r>
      <w:r>
        <w:rPr>
          <w:rFonts w:ascii="Times New Roman" w:hAnsi="Times New Roman"/>
          <w:sz w:val="24"/>
          <w:szCs w:val="24"/>
        </w:rPr>
        <w:t>”</w:t>
      </w:r>
    </w:p>
    <w:p w:rsidR="00430079" w:rsidRDefault="007A3614">
      <w:pPr>
        <w:pStyle w:val="Nincstrkz"/>
        <w:numPr>
          <w:ilvl w:val="0"/>
          <w:numId w:val="1"/>
        </w:numPr>
        <w:jc w:val="both"/>
        <w:rPr>
          <w:rFonts w:ascii="Times New Roman" w:hAnsi="Times New Roman"/>
          <w:sz w:val="24"/>
          <w:szCs w:val="24"/>
        </w:rPr>
      </w:pPr>
      <w:r w:rsidRPr="008C3921">
        <w:rPr>
          <w:rFonts w:ascii="Times New Roman" w:hAnsi="Times New Roman"/>
          <w:sz w:val="24"/>
          <w:szCs w:val="24"/>
        </w:rPr>
        <w:t>A Rendelet 7.§ (7) bekezdése helyébe a következő rendelkezés lép:</w:t>
      </w:r>
    </w:p>
    <w:p w:rsidR="00430079" w:rsidRDefault="00842BC8">
      <w:pPr>
        <w:pStyle w:val="Nincstrkz"/>
        <w:ind w:left="-142"/>
        <w:jc w:val="both"/>
        <w:rPr>
          <w:rFonts w:ascii="Times New Roman" w:hAnsi="Times New Roman"/>
          <w:sz w:val="24"/>
          <w:szCs w:val="24"/>
        </w:rPr>
      </w:pPr>
      <w:r>
        <w:rPr>
          <w:rFonts w:ascii="Times New Roman" w:hAnsi="Times New Roman"/>
          <w:sz w:val="24"/>
          <w:szCs w:val="24"/>
        </w:rPr>
        <w:t>„</w:t>
      </w:r>
      <w:r w:rsidR="007A3614" w:rsidRPr="008C3921">
        <w:rPr>
          <w:rFonts w:ascii="Times New Roman" w:hAnsi="Times New Roman"/>
          <w:sz w:val="24"/>
          <w:szCs w:val="24"/>
        </w:rPr>
        <w:t xml:space="preserve">(7) </w:t>
      </w:r>
      <w:r w:rsidR="00B609C4" w:rsidRPr="008C3921">
        <w:rPr>
          <w:rFonts w:ascii="Times New Roman" w:hAnsi="Times New Roman"/>
          <w:sz w:val="24"/>
          <w:szCs w:val="24"/>
        </w:rPr>
        <w:t>Állattartó építmények elhelyezése az 5. melléklet alapján lehetséges.</w:t>
      </w:r>
      <w:r>
        <w:rPr>
          <w:rFonts w:ascii="Times New Roman" w:hAnsi="Times New Roman"/>
          <w:sz w:val="24"/>
          <w:szCs w:val="24"/>
        </w:rPr>
        <w:t>”</w:t>
      </w:r>
    </w:p>
    <w:p w:rsidR="00BF252B" w:rsidRPr="008C3921" w:rsidRDefault="00BF252B" w:rsidP="00816DED">
      <w:pPr>
        <w:spacing w:after="0" w:line="240" w:lineRule="auto"/>
        <w:rPr>
          <w:rFonts w:ascii="Times New Roman" w:hAnsi="Times New Roman" w:cs="Times New Roman"/>
          <w:sz w:val="24"/>
          <w:szCs w:val="24"/>
        </w:rPr>
      </w:pPr>
    </w:p>
    <w:p w:rsidR="00C36600" w:rsidRPr="008C3921" w:rsidRDefault="006C73D5"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w:t>
      </w:r>
      <w:r w:rsidR="00C36600" w:rsidRPr="008C3921">
        <w:rPr>
          <w:rFonts w:ascii="Times New Roman" w:hAnsi="Times New Roman" w:cs="Times New Roman"/>
          <w:b/>
          <w:sz w:val="24"/>
          <w:szCs w:val="24"/>
        </w:rPr>
        <w:t>.§</w:t>
      </w:r>
    </w:p>
    <w:p w:rsidR="00C36600" w:rsidRPr="008C3921" w:rsidRDefault="00C36600" w:rsidP="00816DED">
      <w:pPr>
        <w:spacing w:after="0" w:line="240" w:lineRule="auto"/>
        <w:rPr>
          <w:rFonts w:ascii="Times New Roman" w:hAnsi="Times New Roman" w:cs="Times New Roman"/>
          <w:sz w:val="24"/>
          <w:szCs w:val="24"/>
        </w:rPr>
      </w:pPr>
    </w:p>
    <w:p w:rsidR="00430079" w:rsidRDefault="00C36600">
      <w:pPr>
        <w:pStyle w:val="Nincstrkz"/>
        <w:ind w:left="-284"/>
        <w:jc w:val="both"/>
        <w:rPr>
          <w:rFonts w:ascii="Times New Roman" w:hAnsi="Times New Roman"/>
          <w:sz w:val="24"/>
          <w:szCs w:val="24"/>
        </w:rPr>
      </w:pPr>
      <w:r w:rsidRPr="008C3921">
        <w:rPr>
          <w:rFonts w:ascii="Times New Roman" w:hAnsi="Times New Roman"/>
          <w:sz w:val="24"/>
          <w:szCs w:val="24"/>
        </w:rPr>
        <w:t>A Rendelet 9.§ (5) bekezdése helyébe a következő rendelkezés lép:</w:t>
      </w:r>
    </w:p>
    <w:p w:rsidR="00430079" w:rsidRDefault="00842BC8">
      <w:pPr>
        <w:pStyle w:val="Nincstrkz"/>
        <w:ind w:left="-284"/>
        <w:jc w:val="both"/>
        <w:rPr>
          <w:rFonts w:ascii="Times New Roman" w:hAnsi="Times New Roman"/>
          <w:sz w:val="24"/>
          <w:szCs w:val="24"/>
        </w:rPr>
      </w:pPr>
      <w:r>
        <w:rPr>
          <w:rFonts w:ascii="Times New Roman" w:hAnsi="Times New Roman"/>
          <w:sz w:val="24"/>
          <w:szCs w:val="24"/>
        </w:rPr>
        <w:t>„</w:t>
      </w:r>
      <w:r w:rsidR="00C36600" w:rsidRPr="008C3921">
        <w:rPr>
          <w:rFonts w:ascii="Times New Roman" w:hAnsi="Times New Roman"/>
          <w:sz w:val="24"/>
          <w:szCs w:val="24"/>
        </w:rPr>
        <w:t>(5) Kisvárosias lakóterületen a kialakítható lakásszám a beépítési százalékból számított legnagyobb alapterület és a legnagyobb épületmagasság 3 m-rel osztásának szorzatából adódó legnagyobb bruttó szintterület 120 m</w:t>
      </w:r>
      <w:r w:rsidR="009D5033" w:rsidRPr="009D5033">
        <w:rPr>
          <w:rFonts w:ascii="Times New Roman" w:hAnsi="Times New Roman"/>
          <w:sz w:val="24"/>
          <w:szCs w:val="24"/>
        </w:rPr>
        <w:t>2</w:t>
      </w:r>
      <w:r w:rsidR="00C36600" w:rsidRPr="008C3921">
        <w:rPr>
          <w:rFonts w:ascii="Times New Roman" w:hAnsi="Times New Roman"/>
          <w:sz w:val="24"/>
          <w:szCs w:val="24"/>
        </w:rPr>
        <w:t>-rel történő osztása után maradó lefelé kerekített egész szám lehet, de legalább 1. Képlete:</w:t>
      </w:r>
    </w:p>
    <w:p w:rsidR="00430079" w:rsidRDefault="00C36600">
      <w:pPr>
        <w:pStyle w:val="Nincstrkz"/>
        <w:ind w:left="-284"/>
        <w:jc w:val="both"/>
        <w:rPr>
          <w:rFonts w:ascii="Times New Roman" w:hAnsi="Times New Roman"/>
          <w:sz w:val="24"/>
          <w:szCs w:val="24"/>
        </w:rPr>
      </w:pPr>
      <w:r w:rsidRPr="008C3921">
        <w:rPr>
          <w:rFonts w:ascii="Times New Roman" w:hAnsi="Times New Roman"/>
          <w:sz w:val="24"/>
          <w:szCs w:val="24"/>
        </w:rPr>
        <w:t>(telekterület × (</w:t>
      </w:r>
      <w:proofErr w:type="spellStart"/>
      <w:r w:rsidRPr="008C3921">
        <w:rPr>
          <w:rFonts w:ascii="Times New Roman" w:hAnsi="Times New Roman"/>
          <w:sz w:val="24"/>
          <w:szCs w:val="24"/>
        </w:rPr>
        <w:t>max</w:t>
      </w:r>
      <w:proofErr w:type="spellEnd"/>
      <w:r w:rsidRPr="008C3921">
        <w:rPr>
          <w:rFonts w:ascii="Times New Roman" w:hAnsi="Times New Roman"/>
          <w:sz w:val="24"/>
          <w:szCs w:val="24"/>
        </w:rPr>
        <w:t xml:space="preserve">. </w:t>
      </w:r>
      <w:proofErr w:type="gramStart"/>
      <w:r w:rsidRPr="008C3921">
        <w:rPr>
          <w:rFonts w:ascii="Times New Roman" w:hAnsi="Times New Roman"/>
          <w:sz w:val="24"/>
          <w:szCs w:val="24"/>
        </w:rPr>
        <w:t>beépítési</w:t>
      </w:r>
      <w:proofErr w:type="gramEnd"/>
      <w:r w:rsidRPr="008C3921">
        <w:rPr>
          <w:rFonts w:ascii="Times New Roman" w:hAnsi="Times New Roman"/>
          <w:sz w:val="24"/>
          <w:szCs w:val="24"/>
        </w:rPr>
        <w:t xml:space="preserve"> százalék)) × (legnagyobb épületmagasság/3 m)</w:t>
      </w:r>
    </w:p>
    <w:p w:rsidR="00430079" w:rsidRDefault="00C36600">
      <w:pPr>
        <w:pStyle w:val="Nincstrkz"/>
        <w:ind w:left="-284"/>
        <w:jc w:val="both"/>
        <w:rPr>
          <w:rFonts w:ascii="Times New Roman" w:hAnsi="Times New Roman"/>
          <w:sz w:val="24"/>
          <w:szCs w:val="24"/>
        </w:rPr>
      </w:pP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009D5033" w:rsidRPr="009D5033">
        <w:rPr>
          <w:rFonts w:ascii="Times New Roman" w:hAnsi="Times New Roman"/>
          <w:sz w:val="24"/>
          <w:szCs w:val="24"/>
          <w:u w:val="single"/>
        </w:rPr>
        <w:tab/>
      </w:r>
      <w:r w:rsidR="009D5033" w:rsidRPr="009D5033">
        <w:rPr>
          <w:rFonts w:ascii="Times New Roman" w:hAnsi="Times New Roman"/>
          <w:sz w:val="24"/>
          <w:szCs w:val="24"/>
          <w:u w:val="single"/>
        </w:rPr>
        <w:tab/>
      </w:r>
      <w:r w:rsidRPr="008C3921">
        <w:rPr>
          <w:rFonts w:ascii="Times New Roman" w:hAnsi="Times New Roman"/>
          <w:sz w:val="24"/>
          <w:szCs w:val="24"/>
        </w:rPr>
        <w:t xml:space="preserve">= </w:t>
      </w:r>
      <w:proofErr w:type="gramStart"/>
      <w:r w:rsidRPr="008C3921">
        <w:rPr>
          <w:rFonts w:ascii="Times New Roman" w:hAnsi="Times New Roman"/>
          <w:sz w:val="24"/>
          <w:szCs w:val="24"/>
        </w:rPr>
        <w:t>lakásszám</w:t>
      </w:r>
      <w:proofErr w:type="gramEnd"/>
      <w:r w:rsidR="00842BC8">
        <w:rPr>
          <w:rFonts w:ascii="Times New Roman" w:hAnsi="Times New Roman"/>
          <w:sz w:val="24"/>
          <w:szCs w:val="24"/>
        </w:rPr>
        <w:t>”</w:t>
      </w:r>
    </w:p>
    <w:p w:rsidR="00C36600" w:rsidRDefault="00C36600">
      <w:pPr>
        <w:pStyle w:val="Nincstrkz"/>
        <w:ind w:left="-284"/>
        <w:jc w:val="both"/>
        <w:rPr>
          <w:rFonts w:ascii="Times New Roman" w:hAnsi="Times New Roman"/>
          <w:sz w:val="24"/>
          <w:szCs w:val="24"/>
        </w:rPr>
      </w:pPr>
      <w:r w:rsidRPr="008C3921">
        <w:rPr>
          <w:rFonts w:ascii="Times New Roman" w:hAnsi="Times New Roman"/>
          <w:sz w:val="24"/>
          <w:szCs w:val="24"/>
        </w:rPr>
        <w:tab/>
      </w:r>
      <w:r w:rsidRPr="008C3921">
        <w:rPr>
          <w:rFonts w:ascii="Times New Roman" w:hAnsi="Times New Roman"/>
          <w:sz w:val="24"/>
          <w:szCs w:val="24"/>
        </w:rPr>
        <w:tab/>
      </w:r>
      <w:r w:rsidRPr="008C3921">
        <w:rPr>
          <w:rFonts w:ascii="Times New Roman" w:hAnsi="Times New Roman"/>
          <w:sz w:val="24"/>
          <w:szCs w:val="24"/>
        </w:rPr>
        <w:tab/>
      </w:r>
      <w:r w:rsidRPr="008C3921">
        <w:rPr>
          <w:rFonts w:ascii="Times New Roman" w:hAnsi="Times New Roman"/>
          <w:sz w:val="24"/>
          <w:szCs w:val="24"/>
        </w:rPr>
        <w:tab/>
        <w:t>120 m</w:t>
      </w:r>
      <w:r w:rsidR="009D5033" w:rsidRPr="009D5033">
        <w:rPr>
          <w:rFonts w:ascii="Times New Roman" w:hAnsi="Times New Roman"/>
          <w:sz w:val="24"/>
          <w:szCs w:val="24"/>
        </w:rPr>
        <w:t>2</w:t>
      </w:r>
    </w:p>
    <w:p w:rsidR="00430079" w:rsidRDefault="00430079">
      <w:pPr>
        <w:pStyle w:val="Nincstrkz"/>
        <w:ind w:left="-284"/>
        <w:jc w:val="both"/>
        <w:rPr>
          <w:rFonts w:ascii="Times New Roman" w:hAnsi="Times New Roman"/>
          <w:sz w:val="24"/>
          <w:szCs w:val="24"/>
        </w:rPr>
      </w:pPr>
    </w:p>
    <w:p w:rsidR="00C36600" w:rsidRPr="008C3921" w:rsidRDefault="0080458A"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r w:rsidR="00C36600" w:rsidRPr="008C3921">
        <w:rPr>
          <w:rFonts w:ascii="Times New Roman" w:hAnsi="Times New Roman" w:cs="Times New Roman"/>
          <w:b/>
          <w:sz w:val="24"/>
          <w:szCs w:val="24"/>
        </w:rPr>
        <w:t>.§</w:t>
      </w:r>
    </w:p>
    <w:p w:rsidR="00C36600" w:rsidRPr="008C3921" w:rsidRDefault="00C36600" w:rsidP="00816DED">
      <w:pPr>
        <w:spacing w:after="0" w:line="240" w:lineRule="auto"/>
        <w:rPr>
          <w:rFonts w:ascii="Times New Roman" w:hAnsi="Times New Roman" w:cs="Times New Roman"/>
          <w:sz w:val="24"/>
          <w:szCs w:val="24"/>
        </w:rPr>
      </w:pPr>
    </w:p>
    <w:p w:rsidR="00C36600" w:rsidRPr="008C3921" w:rsidRDefault="00C36600" w:rsidP="00816DED">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sidR="004C575D" w:rsidRPr="008C3921">
        <w:rPr>
          <w:rFonts w:ascii="Times New Roman" w:hAnsi="Times New Roman"/>
          <w:sz w:val="24"/>
          <w:szCs w:val="24"/>
        </w:rPr>
        <w:t>21</w:t>
      </w:r>
      <w:r w:rsidRPr="008C3921">
        <w:rPr>
          <w:rFonts w:ascii="Times New Roman" w:hAnsi="Times New Roman"/>
          <w:sz w:val="24"/>
          <w:szCs w:val="24"/>
        </w:rPr>
        <w:t>.§ (</w:t>
      </w:r>
      <w:r w:rsidR="004C575D" w:rsidRPr="008C3921">
        <w:rPr>
          <w:rFonts w:ascii="Times New Roman" w:hAnsi="Times New Roman"/>
          <w:sz w:val="24"/>
          <w:szCs w:val="24"/>
        </w:rPr>
        <w:t>7</w:t>
      </w:r>
      <w:r w:rsidRPr="008C3921">
        <w:rPr>
          <w:rFonts w:ascii="Times New Roman" w:hAnsi="Times New Roman"/>
          <w:sz w:val="24"/>
          <w:szCs w:val="24"/>
        </w:rPr>
        <w:t>) bekezdése helyébe a következő rendelkezés lép:</w:t>
      </w:r>
    </w:p>
    <w:p w:rsidR="00430079" w:rsidRDefault="00842BC8">
      <w:pPr>
        <w:pStyle w:val="Nincstrkz"/>
        <w:ind w:left="-284"/>
        <w:jc w:val="both"/>
        <w:rPr>
          <w:rFonts w:ascii="Times New Roman" w:hAnsi="Times New Roman"/>
          <w:sz w:val="24"/>
          <w:szCs w:val="24"/>
        </w:rPr>
      </w:pPr>
      <w:r>
        <w:rPr>
          <w:rFonts w:ascii="Times New Roman" w:hAnsi="Times New Roman"/>
          <w:sz w:val="24"/>
          <w:szCs w:val="24"/>
        </w:rPr>
        <w:t>„</w:t>
      </w:r>
      <w:r w:rsidR="00C36600" w:rsidRPr="008C3921">
        <w:rPr>
          <w:rFonts w:ascii="Times New Roman" w:hAnsi="Times New Roman"/>
          <w:sz w:val="24"/>
          <w:szCs w:val="24"/>
        </w:rPr>
        <w:t>(</w:t>
      </w:r>
      <w:r w:rsidR="004C575D" w:rsidRPr="008C3921">
        <w:rPr>
          <w:rFonts w:ascii="Times New Roman" w:hAnsi="Times New Roman"/>
          <w:sz w:val="24"/>
          <w:szCs w:val="24"/>
        </w:rPr>
        <w:t>7</w:t>
      </w:r>
      <w:r w:rsidR="00C36600" w:rsidRPr="008C3921">
        <w:rPr>
          <w:rFonts w:ascii="Times New Roman" w:hAnsi="Times New Roman"/>
          <w:sz w:val="24"/>
          <w:szCs w:val="24"/>
        </w:rPr>
        <w:t xml:space="preserve">) </w:t>
      </w:r>
      <w:r w:rsidR="004C575D" w:rsidRPr="008C3921">
        <w:rPr>
          <w:rFonts w:ascii="Times New Roman" w:hAnsi="Times New Roman"/>
          <w:sz w:val="24"/>
          <w:szCs w:val="24"/>
        </w:rPr>
        <w:t>Településközponti vegyes területen</w:t>
      </w:r>
      <w:r w:rsidR="00C36600" w:rsidRPr="008C3921">
        <w:rPr>
          <w:rFonts w:ascii="Times New Roman" w:hAnsi="Times New Roman"/>
          <w:sz w:val="24"/>
          <w:szCs w:val="24"/>
        </w:rPr>
        <w:t xml:space="preserve"> a kialakítható lakásszám a beépítési százalékból számított legnagyobb alapterület és a legnagyobb épületmagasság 3 m-rel osztásának szorzatából adódó legnagyobb bruttó szintterület 120 m</w:t>
      </w:r>
      <w:r w:rsidR="009D5033" w:rsidRPr="009D5033">
        <w:rPr>
          <w:rFonts w:ascii="Times New Roman" w:hAnsi="Times New Roman"/>
          <w:sz w:val="24"/>
          <w:szCs w:val="24"/>
        </w:rPr>
        <w:t>2</w:t>
      </w:r>
      <w:r w:rsidR="00C36600" w:rsidRPr="008C3921">
        <w:rPr>
          <w:rFonts w:ascii="Times New Roman" w:hAnsi="Times New Roman"/>
          <w:sz w:val="24"/>
          <w:szCs w:val="24"/>
        </w:rPr>
        <w:t>-rel történő osztása után maradó lefelé kerekített egész szám lehet, de legalább 1. Képlete:</w:t>
      </w:r>
    </w:p>
    <w:p w:rsidR="00430079" w:rsidRDefault="00C36600">
      <w:pPr>
        <w:pStyle w:val="Nincstrkz"/>
        <w:ind w:left="-284"/>
        <w:jc w:val="both"/>
        <w:rPr>
          <w:rFonts w:ascii="Times New Roman" w:hAnsi="Times New Roman"/>
          <w:sz w:val="24"/>
          <w:szCs w:val="24"/>
        </w:rPr>
      </w:pPr>
      <w:r w:rsidRPr="008C3921">
        <w:rPr>
          <w:rFonts w:ascii="Times New Roman" w:hAnsi="Times New Roman"/>
          <w:sz w:val="24"/>
          <w:szCs w:val="24"/>
        </w:rPr>
        <w:t>(telekterület × (</w:t>
      </w:r>
      <w:proofErr w:type="spellStart"/>
      <w:r w:rsidRPr="008C3921">
        <w:rPr>
          <w:rFonts w:ascii="Times New Roman" w:hAnsi="Times New Roman"/>
          <w:sz w:val="24"/>
          <w:szCs w:val="24"/>
        </w:rPr>
        <w:t>max</w:t>
      </w:r>
      <w:proofErr w:type="spellEnd"/>
      <w:r w:rsidRPr="008C3921">
        <w:rPr>
          <w:rFonts w:ascii="Times New Roman" w:hAnsi="Times New Roman"/>
          <w:sz w:val="24"/>
          <w:szCs w:val="24"/>
        </w:rPr>
        <w:t xml:space="preserve">. </w:t>
      </w:r>
      <w:proofErr w:type="gramStart"/>
      <w:r w:rsidRPr="008C3921">
        <w:rPr>
          <w:rFonts w:ascii="Times New Roman" w:hAnsi="Times New Roman"/>
          <w:sz w:val="24"/>
          <w:szCs w:val="24"/>
        </w:rPr>
        <w:t>beépítési</w:t>
      </w:r>
      <w:proofErr w:type="gramEnd"/>
      <w:r w:rsidRPr="008C3921">
        <w:rPr>
          <w:rFonts w:ascii="Times New Roman" w:hAnsi="Times New Roman"/>
          <w:sz w:val="24"/>
          <w:szCs w:val="24"/>
        </w:rPr>
        <w:t xml:space="preserve"> százalék)) × (legnagyobb épületmagasság/3 m)</w:t>
      </w:r>
    </w:p>
    <w:p w:rsidR="00430079" w:rsidRDefault="00C36600">
      <w:pPr>
        <w:pStyle w:val="Nincstrkz"/>
        <w:ind w:left="-284"/>
        <w:jc w:val="both"/>
        <w:rPr>
          <w:rFonts w:ascii="Times New Roman" w:hAnsi="Times New Roman"/>
          <w:sz w:val="24"/>
          <w:szCs w:val="24"/>
        </w:rPr>
      </w:pP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Pr="005D2E94">
        <w:rPr>
          <w:rFonts w:ascii="Times New Roman" w:hAnsi="Times New Roman"/>
          <w:sz w:val="24"/>
          <w:szCs w:val="24"/>
          <w:u w:val="single"/>
        </w:rPr>
        <w:tab/>
      </w:r>
      <w:r w:rsidR="009D5033" w:rsidRPr="009D5033">
        <w:rPr>
          <w:rFonts w:ascii="Times New Roman" w:hAnsi="Times New Roman"/>
          <w:sz w:val="24"/>
          <w:szCs w:val="24"/>
          <w:u w:val="single"/>
        </w:rPr>
        <w:tab/>
      </w:r>
      <w:r w:rsidR="009D5033" w:rsidRPr="009D5033">
        <w:rPr>
          <w:rFonts w:ascii="Times New Roman" w:hAnsi="Times New Roman"/>
          <w:sz w:val="24"/>
          <w:szCs w:val="24"/>
          <w:u w:val="single"/>
        </w:rPr>
        <w:tab/>
      </w:r>
      <w:r w:rsidRPr="008C3921">
        <w:rPr>
          <w:rFonts w:ascii="Times New Roman" w:hAnsi="Times New Roman"/>
          <w:sz w:val="24"/>
          <w:szCs w:val="24"/>
        </w:rPr>
        <w:t xml:space="preserve">= </w:t>
      </w:r>
      <w:proofErr w:type="gramStart"/>
      <w:r w:rsidRPr="008C3921">
        <w:rPr>
          <w:rFonts w:ascii="Times New Roman" w:hAnsi="Times New Roman"/>
          <w:sz w:val="24"/>
          <w:szCs w:val="24"/>
        </w:rPr>
        <w:t>lakásszám</w:t>
      </w:r>
      <w:proofErr w:type="gramEnd"/>
      <w:r w:rsidR="00842BC8">
        <w:rPr>
          <w:rFonts w:ascii="Times New Roman" w:hAnsi="Times New Roman"/>
          <w:sz w:val="24"/>
          <w:szCs w:val="24"/>
        </w:rPr>
        <w:t>”</w:t>
      </w:r>
    </w:p>
    <w:p w:rsidR="00C36600" w:rsidRPr="008C3921" w:rsidRDefault="00C36600" w:rsidP="00816DED">
      <w:pPr>
        <w:spacing w:after="0" w:line="240" w:lineRule="auto"/>
        <w:ind w:left="-284"/>
        <w:rPr>
          <w:rFonts w:ascii="Times New Roman" w:hAnsi="Times New Roman" w:cs="Times New Roman"/>
          <w:sz w:val="24"/>
          <w:szCs w:val="24"/>
        </w:rPr>
      </w:pPr>
      <w:r w:rsidRPr="008C3921">
        <w:rPr>
          <w:rFonts w:ascii="Times New Roman" w:hAnsi="Times New Roman" w:cs="Times New Roman"/>
          <w:sz w:val="24"/>
          <w:szCs w:val="24"/>
        </w:rPr>
        <w:tab/>
      </w:r>
      <w:r w:rsidRPr="008C3921">
        <w:rPr>
          <w:rFonts w:ascii="Times New Roman" w:hAnsi="Times New Roman" w:cs="Times New Roman"/>
          <w:sz w:val="24"/>
          <w:szCs w:val="24"/>
        </w:rPr>
        <w:tab/>
      </w:r>
      <w:r w:rsidRPr="008C3921">
        <w:rPr>
          <w:rFonts w:ascii="Times New Roman" w:hAnsi="Times New Roman" w:cs="Times New Roman"/>
          <w:sz w:val="24"/>
          <w:szCs w:val="24"/>
        </w:rPr>
        <w:tab/>
      </w:r>
      <w:r w:rsidRPr="008C3921">
        <w:rPr>
          <w:rFonts w:ascii="Times New Roman" w:hAnsi="Times New Roman" w:cs="Times New Roman"/>
          <w:sz w:val="24"/>
          <w:szCs w:val="24"/>
        </w:rPr>
        <w:tab/>
        <w:t>120 m</w:t>
      </w:r>
      <w:r w:rsidRPr="008C3921">
        <w:rPr>
          <w:rFonts w:ascii="Times New Roman" w:hAnsi="Times New Roman" w:cs="Times New Roman"/>
          <w:sz w:val="24"/>
          <w:szCs w:val="24"/>
          <w:vertAlign w:val="superscript"/>
        </w:rPr>
        <w:t>2</w:t>
      </w:r>
    </w:p>
    <w:p w:rsidR="00F16901" w:rsidRPr="008C3921" w:rsidRDefault="0080458A"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00F16901" w:rsidRPr="008C3921">
        <w:rPr>
          <w:rFonts w:ascii="Times New Roman" w:hAnsi="Times New Roman" w:cs="Times New Roman"/>
          <w:b/>
          <w:sz w:val="24"/>
          <w:szCs w:val="24"/>
        </w:rPr>
        <w:t>.§</w:t>
      </w:r>
    </w:p>
    <w:p w:rsidR="00F16901" w:rsidRPr="008C3921" w:rsidRDefault="00F16901" w:rsidP="00816DED">
      <w:pPr>
        <w:spacing w:after="0" w:line="240" w:lineRule="auto"/>
        <w:rPr>
          <w:rFonts w:ascii="Times New Roman" w:hAnsi="Times New Roman" w:cs="Times New Roman"/>
          <w:sz w:val="24"/>
          <w:szCs w:val="24"/>
        </w:rPr>
      </w:pPr>
    </w:p>
    <w:p w:rsidR="00F16901" w:rsidRPr="008C3921" w:rsidRDefault="00F16901" w:rsidP="00816DED">
      <w:pPr>
        <w:pStyle w:val="Nincstrkz"/>
        <w:ind w:left="-284" w:right="-425"/>
        <w:jc w:val="both"/>
        <w:rPr>
          <w:rFonts w:ascii="Times New Roman" w:hAnsi="Times New Roman"/>
          <w:sz w:val="24"/>
          <w:szCs w:val="24"/>
        </w:rPr>
      </w:pPr>
      <w:r w:rsidRPr="008C3921">
        <w:rPr>
          <w:rFonts w:ascii="Times New Roman" w:hAnsi="Times New Roman"/>
          <w:sz w:val="24"/>
          <w:szCs w:val="24"/>
        </w:rPr>
        <w:t>A Rendelet 22.§ a) pontja helyébe a következő rendelkezés lép:</w:t>
      </w:r>
    </w:p>
    <w:p w:rsidR="00F16901" w:rsidRPr="008C3921" w:rsidRDefault="00842BC8" w:rsidP="0080458A">
      <w:pPr>
        <w:pStyle w:val="Nincstrkz"/>
        <w:ind w:left="-284"/>
        <w:jc w:val="both"/>
        <w:rPr>
          <w:rFonts w:ascii="Times New Roman" w:hAnsi="Times New Roman"/>
          <w:sz w:val="24"/>
          <w:szCs w:val="24"/>
        </w:rPr>
      </w:pPr>
      <w:r>
        <w:rPr>
          <w:rFonts w:ascii="Times New Roman" w:hAnsi="Times New Roman"/>
          <w:sz w:val="24"/>
          <w:szCs w:val="24"/>
        </w:rPr>
        <w:t>„</w:t>
      </w:r>
      <w:r w:rsidR="00F16901" w:rsidRPr="008C3921">
        <w:rPr>
          <w:rFonts w:ascii="Times New Roman" w:hAnsi="Times New Roman"/>
          <w:sz w:val="24"/>
          <w:szCs w:val="24"/>
        </w:rPr>
        <w:t>a) A telkek szélességükben tovább nem oszthatók, a szomszédos telkekkel össze nem vonhatók, kivételt képeznek azok a telkek, melyekről megállapítható, hogy egy házszámhoz több helyrajzi szám tartozik. A Vt-1 építési övezet területén a telkek mélységükben csak a szabályozási tervlapon jelölt szabályozási vonal, övezethatár esetében oszthatók meg.</w:t>
      </w:r>
      <w:r>
        <w:rPr>
          <w:rFonts w:ascii="Times New Roman" w:hAnsi="Times New Roman"/>
          <w:sz w:val="24"/>
          <w:szCs w:val="24"/>
        </w:rPr>
        <w:t>”</w:t>
      </w:r>
    </w:p>
    <w:p w:rsidR="005E2946" w:rsidRDefault="005E2946" w:rsidP="00816DED">
      <w:pPr>
        <w:spacing w:after="0" w:line="240" w:lineRule="auto"/>
        <w:ind w:left="-284"/>
        <w:rPr>
          <w:rFonts w:ascii="Times New Roman" w:hAnsi="Times New Roman" w:cs="Times New Roman"/>
          <w:sz w:val="24"/>
          <w:szCs w:val="24"/>
        </w:rPr>
      </w:pPr>
    </w:p>
    <w:p w:rsidR="005E2946" w:rsidRPr="008C3921" w:rsidRDefault="00862F86" w:rsidP="005E294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r w:rsidR="005E2946" w:rsidRPr="008C3921">
        <w:rPr>
          <w:rFonts w:ascii="Times New Roman" w:hAnsi="Times New Roman" w:cs="Times New Roman"/>
          <w:b/>
          <w:sz w:val="24"/>
          <w:szCs w:val="24"/>
        </w:rPr>
        <w:t>.§</w:t>
      </w:r>
    </w:p>
    <w:p w:rsidR="005E2946" w:rsidRPr="008C3921" w:rsidRDefault="005E2946" w:rsidP="005E2946">
      <w:pPr>
        <w:spacing w:after="0" w:line="240" w:lineRule="auto"/>
        <w:rPr>
          <w:rFonts w:ascii="Times New Roman" w:hAnsi="Times New Roman" w:cs="Times New Roman"/>
          <w:sz w:val="24"/>
          <w:szCs w:val="24"/>
        </w:rPr>
      </w:pPr>
    </w:p>
    <w:p w:rsidR="005E2946" w:rsidRPr="008C3921" w:rsidRDefault="005E2946" w:rsidP="005E2946">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33.§</w:t>
      </w:r>
      <w:proofErr w:type="spellStart"/>
      <w:r>
        <w:rPr>
          <w:rFonts w:ascii="Times New Roman" w:hAnsi="Times New Roman"/>
          <w:sz w:val="24"/>
          <w:szCs w:val="24"/>
        </w:rPr>
        <w:t>-a</w:t>
      </w:r>
      <w:proofErr w:type="spellEnd"/>
      <w:r>
        <w:rPr>
          <w:rFonts w:ascii="Times New Roman" w:hAnsi="Times New Roman"/>
          <w:sz w:val="24"/>
          <w:szCs w:val="24"/>
        </w:rPr>
        <w:t xml:space="preserve"> </w:t>
      </w:r>
      <w:r w:rsidRPr="008C3921">
        <w:rPr>
          <w:rFonts w:ascii="Times New Roman" w:hAnsi="Times New Roman"/>
          <w:sz w:val="24"/>
          <w:szCs w:val="24"/>
        </w:rPr>
        <w:t>helyébe a következő rendelkezés lép:</w:t>
      </w:r>
    </w:p>
    <w:p w:rsidR="005E2946" w:rsidRDefault="00842BC8" w:rsidP="005E2946">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5E2946">
        <w:rPr>
          <w:rFonts w:ascii="Times New Roman" w:hAnsi="Times New Roman" w:cs="Times New Roman"/>
          <w:sz w:val="24"/>
          <w:szCs w:val="24"/>
        </w:rPr>
        <w:t>33.§</w:t>
      </w:r>
      <w:r>
        <w:rPr>
          <w:rFonts w:ascii="Times New Roman" w:hAnsi="Times New Roman" w:cs="Times New Roman"/>
          <w:sz w:val="24"/>
          <w:szCs w:val="24"/>
        </w:rPr>
        <w:t xml:space="preserve"> </w:t>
      </w:r>
      <w:r w:rsidR="005E2946">
        <w:rPr>
          <w:rFonts w:ascii="Times New Roman" w:hAnsi="Times New Roman" w:cs="Times New Roman"/>
          <w:sz w:val="24"/>
          <w:szCs w:val="24"/>
        </w:rPr>
        <w:t xml:space="preserve">(1) A területen </w:t>
      </w:r>
      <w:r w:rsidR="006230EB">
        <w:rPr>
          <w:rFonts w:ascii="Times New Roman" w:hAnsi="Times New Roman" w:cs="Times New Roman"/>
          <w:sz w:val="24"/>
          <w:szCs w:val="24"/>
        </w:rPr>
        <w:t>e</w:t>
      </w:r>
      <w:r w:rsidR="005E2946">
        <w:rPr>
          <w:rFonts w:ascii="Times New Roman" w:hAnsi="Times New Roman" w:cs="Times New Roman"/>
          <w:sz w:val="24"/>
          <w:szCs w:val="24"/>
        </w:rPr>
        <w:t>gy vagy több épületben az OTÉK szerinti rendeltetések helyezhetők el, amennyiben az egyedi építési övezeti előírások másként nem rendelkeznek.</w:t>
      </w:r>
    </w:p>
    <w:p w:rsidR="005E2946" w:rsidRDefault="007807A1" w:rsidP="00816DED">
      <w:pPr>
        <w:spacing w:after="0" w:line="240" w:lineRule="auto"/>
        <w:ind w:left="-284"/>
        <w:rPr>
          <w:rFonts w:ascii="Times New Roman" w:hAnsi="Times New Roman" w:cs="Times New Roman"/>
          <w:sz w:val="24"/>
          <w:szCs w:val="24"/>
        </w:rPr>
      </w:pPr>
      <w:r w:rsidDel="007807A1">
        <w:rPr>
          <w:rFonts w:ascii="Times New Roman" w:hAnsi="Times New Roman" w:cs="Times New Roman"/>
          <w:sz w:val="24"/>
          <w:szCs w:val="24"/>
        </w:rPr>
        <w:t xml:space="preserve"> </w:t>
      </w:r>
      <w:r w:rsidR="00F542BC">
        <w:rPr>
          <w:rFonts w:ascii="Times New Roman" w:hAnsi="Times New Roman" w:cs="Times New Roman"/>
          <w:sz w:val="24"/>
          <w:szCs w:val="24"/>
        </w:rPr>
        <w:t>(</w:t>
      </w:r>
      <w:r>
        <w:rPr>
          <w:rFonts w:ascii="Times New Roman" w:hAnsi="Times New Roman" w:cs="Times New Roman"/>
          <w:sz w:val="24"/>
          <w:szCs w:val="24"/>
        </w:rPr>
        <w:t>2</w:t>
      </w:r>
      <w:r w:rsidR="00F542BC">
        <w:rPr>
          <w:rFonts w:ascii="Times New Roman" w:hAnsi="Times New Roman" w:cs="Times New Roman"/>
          <w:sz w:val="24"/>
          <w:szCs w:val="24"/>
        </w:rPr>
        <w:t>) Az övezetekben mobilház, konténerház</w:t>
      </w:r>
      <w:r w:rsidR="006E2A0C">
        <w:rPr>
          <w:rFonts w:ascii="Times New Roman" w:hAnsi="Times New Roman" w:cs="Times New Roman"/>
          <w:sz w:val="24"/>
          <w:szCs w:val="24"/>
        </w:rPr>
        <w:t>, lakókocsi</w:t>
      </w:r>
      <w:r w:rsidR="00F542BC">
        <w:rPr>
          <w:rFonts w:ascii="Times New Roman" w:hAnsi="Times New Roman" w:cs="Times New Roman"/>
          <w:sz w:val="24"/>
          <w:szCs w:val="24"/>
        </w:rPr>
        <w:t xml:space="preserve"> nem helyezhető el.</w:t>
      </w:r>
      <w:r w:rsidR="00842BC8">
        <w:rPr>
          <w:rFonts w:ascii="Times New Roman" w:hAnsi="Times New Roman" w:cs="Times New Roman"/>
          <w:sz w:val="24"/>
          <w:szCs w:val="24"/>
        </w:rPr>
        <w:t>”</w:t>
      </w:r>
    </w:p>
    <w:p w:rsidR="00F542BC" w:rsidRDefault="00F542BC" w:rsidP="00816DED">
      <w:pPr>
        <w:spacing w:after="0" w:line="240" w:lineRule="auto"/>
        <w:ind w:left="-284"/>
        <w:rPr>
          <w:rFonts w:ascii="Times New Roman" w:hAnsi="Times New Roman" w:cs="Times New Roman"/>
          <w:sz w:val="24"/>
          <w:szCs w:val="24"/>
        </w:rPr>
      </w:pPr>
    </w:p>
    <w:p w:rsidR="004D3D9C" w:rsidRPr="008C3921" w:rsidRDefault="00862F86" w:rsidP="004D3D9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r w:rsidR="004D3D9C" w:rsidRPr="008C3921">
        <w:rPr>
          <w:rFonts w:ascii="Times New Roman" w:hAnsi="Times New Roman" w:cs="Times New Roman"/>
          <w:b/>
          <w:sz w:val="24"/>
          <w:szCs w:val="24"/>
        </w:rPr>
        <w:t>.§</w:t>
      </w:r>
    </w:p>
    <w:p w:rsidR="004D3D9C" w:rsidRPr="008C3921" w:rsidRDefault="004D3D9C" w:rsidP="004D3D9C">
      <w:pPr>
        <w:spacing w:after="0" w:line="240" w:lineRule="auto"/>
        <w:rPr>
          <w:rFonts w:ascii="Times New Roman" w:hAnsi="Times New Roman" w:cs="Times New Roman"/>
          <w:sz w:val="24"/>
          <w:szCs w:val="24"/>
        </w:rPr>
      </w:pPr>
    </w:p>
    <w:p w:rsidR="004D3D9C" w:rsidRPr="008C3921" w:rsidRDefault="004D3D9C" w:rsidP="004D3D9C">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44.§</w:t>
      </w:r>
      <w:proofErr w:type="spellStart"/>
      <w:r>
        <w:rPr>
          <w:rFonts w:ascii="Times New Roman" w:hAnsi="Times New Roman"/>
          <w:sz w:val="24"/>
          <w:szCs w:val="24"/>
        </w:rPr>
        <w:t>-a</w:t>
      </w:r>
      <w:proofErr w:type="spellEnd"/>
      <w:r>
        <w:rPr>
          <w:rFonts w:ascii="Times New Roman" w:hAnsi="Times New Roman"/>
          <w:sz w:val="24"/>
          <w:szCs w:val="24"/>
        </w:rPr>
        <w:t xml:space="preserve"> </w:t>
      </w:r>
      <w:r w:rsidRPr="008C3921">
        <w:rPr>
          <w:rFonts w:ascii="Times New Roman" w:hAnsi="Times New Roman"/>
          <w:sz w:val="24"/>
          <w:szCs w:val="24"/>
        </w:rPr>
        <w:t>helyébe a következő rendelkezés lép:</w:t>
      </w:r>
    </w:p>
    <w:p w:rsidR="004D3D9C" w:rsidRDefault="00842BC8" w:rsidP="004D3D9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4D3D9C">
        <w:rPr>
          <w:rFonts w:ascii="Times New Roman" w:hAnsi="Times New Roman" w:cs="Times New Roman"/>
          <w:sz w:val="24"/>
          <w:szCs w:val="24"/>
        </w:rPr>
        <w:t>44.§</w:t>
      </w:r>
      <w:r>
        <w:rPr>
          <w:rFonts w:ascii="Times New Roman" w:hAnsi="Times New Roman" w:cs="Times New Roman"/>
          <w:sz w:val="24"/>
          <w:szCs w:val="24"/>
        </w:rPr>
        <w:t xml:space="preserve"> </w:t>
      </w:r>
      <w:r w:rsidR="004D3D9C">
        <w:rPr>
          <w:rFonts w:ascii="Times New Roman" w:hAnsi="Times New Roman" w:cs="Times New Roman"/>
          <w:sz w:val="24"/>
          <w:szCs w:val="24"/>
        </w:rPr>
        <w:t>(1) Az övezet a telekigényes közműlétesítmények elhelyezésre szolgáló terület.</w:t>
      </w:r>
    </w:p>
    <w:p w:rsidR="004D3D9C" w:rsidRDefault="004D3D9C" w:rsidP="004D3D9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(2) Az építési övezetben a közmű építményeken és a közvetlenül hozzákapcsolódó építményeken kívül más rendeltetésű építmény nem helyezhető el.</w:t>
      </w:r>
    </w:p>
    <w:p w:rsidR="004D3D9C" w:rsidRDefault="004D3D9C" w:rsidP="004D3D9C">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(3) Az övezetben az előírt legnagyobb épületmagasságot a funkcióhoz, technológiához kapcsolódó toronyszerű építmények meghaladhatják.</w:t>
      </w:r>
      <w:r w:rsidR="00842BC8">
        <w:rPr>
          <w:rFonts w:ascii="Times New Roman" w:hAnsi="Times New Roman" w:cs="Times New Roman"/>
          <w:sz w:val="24"/>
          <w:szCs w:val="24"/>
        </w:rPr>
        <w:t>”</w:t>
      </w:r>
    </w:p>
    <w:p w:rsidR="004D3D9C" w:rsidRPr="008C3921" w:rsidRDefault="004D3D9C" w:rsidP="00816DED">
      <w:pPr>
        <w:spacing w:after="0" w:line="240" w:lineRule="auto"/>
        <w:ind w:left="-284"/>
        <w:rPr>
          <w:rFonts w:ascii="Times New Roman" w:hAnsi="Times New Roman" w:cs="Times New Roman"/>
          <w:sz w:val="24"/>
          <w:szCs w:val="24"/>
        </w:rPr>
      </w:pPr>
    </w:p>
    <w:p w:rsidR="00165B02" w:rsidRPr="008C3921" w:rsidRDefault="00862F86"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w:t>
      </w:r>
      <w:r w:rsidR="00165B02" w:rsidRPr="008C3921">
        <w:rPr>
          <w:rFonts w:ascii="Times New Roman" w:hAnsi="Times New Roman" w:cs="Times New Roman"/>
          <w:b/>
          <w:sz w:val="24"/>
          <w:szCs w:val="24"/>
        </w:rPr>
        <w:t>.§</w:t>
      </w:r>
    </w:p>
    <w:p w:rsidR="00165B02" w:rsidRPr="008C3921" w:rsidRDefault="00165B02" w:rsidP="00816DED">
      <w:pPr>
        <w:spacing w:after="0" w:line="240" w:lineRule="auto"/>
        <w:rPr>
          <w:rFonts w:ascii="Times New Roman" w:hAnsi="Times New Roman" w:cs="Times New Roman"/>
          <w:sz w:val="24"/>
          <w:szCs w:val="24"/>
        </w:rPr>
      </w:pPr>
    </w:p>
    <w:p w:rsidR="00CB67ED" w:rsidRDefault="009233B3">
      <w:pPr>
        <w:pStyle w:val="Nincstrkz"/>
        <w:numPr>
          <w:ilvl w:val="0"/>
          <w:numId w:val="6"/>
        </w:numPr>
        <w:ind w:right="-425"/>
        <w:jc w:val="both"/>
        <w:rPr>
          <w:rFonts w:ascii="Times New Roman" w:hAnsi="Times New Roman"/>
          <w:sz w:val="24"/>
          <w:szCs w:val="24"/>
        </w:rPr>
      </w:pPr>
      <w:r>
        <w:rPr>
          <w:rFonts w:ascii="Times New Roman" w:hAnsi="Times New Roman"/>
          <w:sz w:val="24"/>
          <w:szCs w:val="24"/>
        </w:rPr>
        <w:t>A Rendelet 50.§ (7) bekezdése helyébe a következő rendelkezés lép:</w:t>
      </w:r>
    </w:p>
    <w:p w:rsidR="00CB67ED" w:rsidRDefault="009233B3" w:rsidP="008319E7">
      <w:pPr>
        <w:pStyle w:val="Nincstrkz"/>
        <w:ind w:left="-142" w:right="-425"/>
        <w:jc w:val="both"/>
        <w:rPr>
          <w:rFonts w:ascii="Times New Roman" w:hAnsi="Times New Roman"/>
          <w:sz w:val="24"/>
          <w:szCs w:val="24"/>
        </w:rPr>
      </w:pPr>
      <w:r>
        <w:rPr>
          <w:rFonts w:ascii="Times New Roman" w:hAnsi="Times New Roman"/>
          <w:sz w:val="24"/>
          <w:szCs w:val="24"/>
        </w:rPr>
        <w:t>„</w:t>
      </w:r>
      <w:r w:rsidRPr="008C3921">
        <w:rPr>
          <w:rFonts w:ascii="Times New Roman" w:hAnsi="Times New Roman"/>
          <w:sz w:val="24"/>
          <w:szCs w:val="24"/>
        </w:rPr>
        <w:t>(</w:t>
      </w:r>
      <w:r>
        <w:rPr>
          <w:rFonts w:ascii="Times New Roman" w:hAnsi="Times New Roman"/>
          <w:sz w:val="24"/>
          <w:szCs w:val="24"/>
        </w:rPr>
        <w:t>7</w:t>
      </w:r>
      <w:r w:rsidRPr="008C3921">
        <w:rPr>
          <w:rFonts w:ascii="Times New Roman" w:hAnsi="Times New Roman"/>
          <w:sz w:val="24"/>
          <w:szCs w:val="24"/>
        </w:rPr>
        <w:t>) A</w:t>
      </w:r>
      <w:r>
        <w:rPr>
          <w:rFonts w:ascii="Times New Roman" w:hAnsi="Times New Roman"/>
          <w:sz w:val="24"/>
          <w:szCs w:val="24"/>
        </w:rPr>
        <w:t xml:space="preserve"> közúthálózat elemei számára az alábbi szélességű építési területeket kell biztosítani:</w:t>
      </w:r>
    </w:p>
    <w:p w:rsidR="00CB67ED" w:rsidRDefault="00CB67ED" w:rsidP="008319E7">
      <w:pPr>
        <w:pStyle w:val="Nincstrkz"/>
        <w:ind w:left="-142" w:right="-425"/>
        <w:jc w:val="both"/>
        <w:rPr>
          <w:rFonts w:ascii="Times New Roman" w:hAnsi="Times New Roman"/>
          <w:sz w:val="24"/>
          <w:szCs w:val="24"/>
        </w:rPr>
      </w:pPr>
    </w:p>
    <w:tbl>
      <w:tblPr>
        <w:tblW w:w="95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
        <w:gridCol w:w="810"/>
        <w:gridCol w:w="101"/>
        <w:gridCol w:w="3416"/>
        <w:gridCol w:w="101"/>
        <w:gridCol w:w="1599"/>
        <w:gridCol w:w="101"/>
        <w:gridCol w:w="1601"/>
        <w:gridCol w:w="101"/>
        <w:gridCol w:w="1436"/>
        <w:gridCol w:w="101"/>
      </w:tblGrid>
      <w:tr w:rsidR="00EC7A32" w:rsidTr="008319E7">
        <w:trPr>
          <w:gridAfter w:val="1"/>
          <w:wAfter w:w="101" w:type="dxa"/>
          <w:jc w:val="center"/>
        </w:trPr>
        <w:tc>
          <w:tcPr>
            <w:tcW w:w="958" w:type="dxa"/>
            <w:gridSpan w:val="2"/>
          </w:tcPr>
          <w:p w:rsidR="009233B3" w:rsidRDefault="009233B3" w:rsidP="00447230">
            <w:pPr>
              <w:rPr>
                <w:rFonts w:ascii="Calibri" w:eastAsia="Calibri" w:hAnsi="Calibri" w:cs="Times New Roman"/>
              </w:rPr>
            </w:pP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A</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B</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C</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D</w:t>
            </w:r>
          </w:p>
        </w:tc>
      </w:tr>
      <w:tr w:rsidR="00EC7A32" w:rsidRPr="00947834" w:rsidTr="008319E7">
        <w:trPr>
          <w:gridAfter w:val="1"/>
          <w:wAfter w:w="101" w:type="dxa"/>
          <w:jc w:val="center"/>
        </w:trPr>
        <w:tc>
          <w:tcPr>
            <w:tcW w:w="958" w:type="dxa"/>
            <w:gridSpan w:val="2"/>
          </w:tcPr>
          <w:p w:rsidR="009233B3" w:rsidRPr="00947834" w:rsidRDefault="009233B3" w:rsidP="00447230">
            <w:pPr>
              <w:rPr>
                <w:rFonts w:ascii="Calibri" w:eastAsia="Calibri" w:hAnsi="Calibri" w:cs="Times New Roman"/>
                <w:szCs w:val="20"/>
              </w:rPr>
            </w:pPr>
          </w:p>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1</w:t>
            </w:r>
          </w:p>
        </w:tc>
        <w:tc>
          <w:tcPr>
            <w:tcW w:w="3517" w:type="dxa"/>
            <w:gridSpan w:val="2"/>
          </w:tcPr>
          <w:p w:rsidR="009233B3" w:rsidRPr="00947834" w:rsidRDefault="009233B3" w:rsidP="00447230">
            <w:pPr>
              <w:jc w:val="center"/>
              <w:rPr>
                <w:rFonts w:ascii="Calibri" w:eastAsia="Calibri" w:hAnsi="Calibri" w:cs="Times New Roman"/>
                <w:szCs w:val="20"/>
              </w:rPr>
            </w:pPr>
          </w:p>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út megnevezés</w:t>
            </w:r>
          </w:p>
        </w:tc>
        <w:tc>
          <w:tcPr>
            <w:tcW w:w="1700" w:type="dxa"/>
            <w:gridSpan w:val="2"/>
          </w:tcPr>
          <w:p w:rsidR="009233B3" w:rsidRPr="00947834" w:rsidRDefault="009233B3" w:rsidP="00447230">
            <w:pPr>
              <w:jc w:val="center"/>
              <w:rPr>
                <w:rFonts w:ascii="Calibri" w:eastAsia="Calibri" w:hAnsi="Calibri" w:cs="Times New Roman"/>
                <w:sz w:val="16"/>
                <w:szCs w:val="16"/>
              </w:rPr>
            </w:pPr>
          </w:p>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útkategória</w:t>
            </w:r>
          </w:p>
        </w:tc>
        <w:tc>
          <w:tcPr>
            <w:tcW w:w="1702" w:type="dxa"/>
            <w:gridSpan w:val="2"/>
          </w:tcPr>
          <w:p w:rsidR="009233B3" w:rsidRPr="00947834" w:rsidRDefault="009233B3" w:rsidP="00447230">
            <w:pPr>
              <w:jc w:val="center"/>
              <w:rPr>
                <w:rFonts w:ascii="Calibri" w:eastAsia="Calibri" w:hAnsi="Calibri" w:cs="Times New Roman"/>
                <w:sz w:val="16"/>
                <w:szCs w:val="16"/>
              </w:rPr>
            </w:pPr>
          </w:p>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forgalmi sáv</w:t>
            </w:r>
          </w:p>
        </w:tc>
        <w:tc>
          <w:tcPr>
            <w:tcW w:w="1537" w:type="dxa"/>
            <w:gridSpan w:val="2"/>
          </w:tcPr>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építési terület</w:t>
            </w:r>
          </w:p>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(szabályozási szélesség)</w:t>
            </w:r>
          </w:p>
        </w:tc>
      </w:tr>
      <w:tr w:rsidR="009233B3" w:rsidRPr="00947834" w:rsidTr="008319E7">
        <w:trPr>
          <w:gridAfter w:val="1"/>
          <w:wAfter w:w="101" w:type="dxa"/>
          <w:jc w:val="center"/>
        </w:trPr>
        <w:tc>
          <w:tcPr>
            <w:tcW w:w="958"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2</w:t>
            </w:r>
          </w:p>
        </w:tc>
        <w:tc>
          <w:tcPr>
            <w:tcW w:w="8456" w:type="dxa"/>
            <w:gridSpan w:val="8"/>
          </w:tcPr>
          <w:p w:rsidR="009233B3" w:rsidRPr="00947834" w:rsidRDefault="009233B3" w:rsidP="00447230">
            <w:pPr>
              <w:rPr>
                <w:rFonts w:ascii="Calibri" w:eastAsia="Calibri" w:hAnsi="Calibri" w:cs="Times New Roman"/>
                <w:szCs w:val="20"/>
              </w:rPr>
            </w:pPr>
            <w:r w:rsidRPr="00947834">
              <w:rPr>
                <w:rFonts w:ascii="Calibri" w:eastAsia="Calibri" w:hAnsi="Calibri" w:cs="Times New Roman"/>
                <w:b/>
                <w:szCs w:val="20"/>
              </w:rPr>
              <w:t>M87 gyorsforgalmi út Szombathely-Kőszeg- Ólmod térsége</w:t>
            </w:r>
          </w:p>
        </w:tc>
      </w:tr>
      <w:tr w:rsidR="00EC7A32" w:rsidRPr="00947834" w:rsidTr="008319E7">
        <w:trPr>
          <w:gridAfter w:val="1"/>
          <w:wAfter w:w="101" w:type="dxa"/>
          <w:jc w:val="center"/>
        </w:trPr>
        <w:tc>
          <w:tcPr>
            <w:tcW w:w="958"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3</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Tervezett M87 gyorsforgalmi út</w:t>
            </w:r>
          </w:p>
        </w:tc>
        <w:tc>
          <w:tcPr>
            <w:tcW w:w="1700"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K</w:t>
            </w:r>
            <w:proofErr w:type="gramStart"/>
            <w:r w:rsidRPr="00947834">
              <w:rPr>
                <w:rFonts w:ascii="Calibri" w:eastAsia="Calibri" w:hAnsi="Calibri" w:cs="Times New Roman"/>
                <w:szCs w:val="20"/>
              </w:rPr>
              <w:t>.I.</w:t>
            </w:r>
            <w:proofErr w:type="gramEnd"/>
            <w:r w:rsidRPr="00947834">
              <w:rPr>
                <w:rFonts w:ascii="Calibri" w:eastAsia="Calibri" w:hAnsi="Calibri" w:cs="Times New Roman"/>
                <w:szCs w:val="20"/>
              </w:rPr>
              <w:t>–K.II.</w:t>
            </w:r>
          </w:p>
        </w:tc>
        <w:tc>
          <w:tcPr>
            <w:tcW w:w="1702"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2x2</w:t>
            </w:r>
          </w:p>
        </w:tc>
        <w:tc>
          <w:tcPr>
            <w:tcW w:w="1537" w:type="dxa"/>
            <w:gridSpan w:val="2"/>
          </w:tcPr>
          <w:p w:rsidR="009233B3" w:rsidRPr="00947834" w:rsidRDefault="009233B3" w:rsidP="00447230">
            <w:pPr>
              <w:jc w:val="center"/>
              <w:rPr>
                <w:rFonts w:ascii="Calibri" w:eastAsia="Calibri" w:hAnsi="Calibri" w:cs="Times New Roman"/>
                <w:szCs w:val="20"/>
              </w:rPr>
            </w:pPr>
            <w:r>
              <w:rPr>
                <w:rFonts w:ascii="Calibri" w:eastAsia="Calibri" w:hAnsi="Calibri" w:cs="Times New Roman"/>
                <w:szCs w:val="20"/>
              </w:rPr>
              <w:t>60</w:t>
            </w:r>
            <w:r w:rsidRPr="00947834">
              <w:rPr>
                <w:rFonts w:ascii="Calibri" w:eastAsia="Calibri" w:hAnsi="Calibri" w:cs="Times New Roman"/>
                <w:szCs w:val="20"/>
              </w:rPr>
              <w:t>m</w:t>
            </w:r>
          </w:p>
        </w:tc>
      </w:tr>
      <w:tr w:rsidR="009233B3" w:rsidTr="008319E7">
        <w:trPr>
          <w:gridAfter w:val="1"/>
          <w:wAfter w:w="101" w:type="dxa"/>
          <w:jc w:val="center"/>
        </w:trPr>
        <w:tc>
          <w:tcPr>
            <w:tcW w:w="958"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w:t>
            </w:r>
          </w:p>
        </w:tc>
        <w:tc>
          <w:tcPr>
            <w:tcW w:w="8456" w:type="dxa"/>
            <w:gridSpan w:val="8"/>
          </w:tcPr>
          <w:p w:rsidR="009233B3" w:rsidRDefault="009233B3" w:rsidP="00447230">
            <w:pPr>
              <w:rPr>
                <w:rFonts w:ascii="Calibri" w:eastAsia="Calibri" w:hAnsi="Calibri" w:cs="Times New Roman"/>
              </w:rPr>
            </w:pPr>
            <w:r>
              <w:rPr>
                <w:rFonts w:ascii="Calibri" w:eastAsia="Calibri" w:hAnsi="Calibri" w:cs="Times New Roman"/>
                <w:b/>
              </w:rPr>
              <w:t>87 számú</w:t>
            </w:r>
            <w:r w:rsidRPr="00947834">
              <w:rPr>
                <w:rFonts w:ascii="Calibri" w:eastAsia="Calibri" w:hAnsi="Calibri" w:cs="Times New Roman"/>
                <w:b/>
              </w:rPr>
              <w:t xml:space="preserve"> Kám – Szombathely – Kőszeg </w:t>
            </w:r>
            <w:proofErr w:type="spellStart"/>
            <w:r w:rsidRPr="00947834">
              <w:rPr>
                <w:rFonts w:ascii="Calibri" w:eastAsia="Calibri" w:hAnsi="Calibri" w:cs="Times New Roman"/>
                <w:b/>
              </w:rPr>
              <w:t>II.r.főút</w:t>
            </w:r>
            <w:proofErr w:type="spellEnd"/>
          </w:p>
        </w:tc>
      </w:tr>
      <w:tr w:rsidR="00EC7A32" w:rsidTr="008319E7">
        <w:trPr>
          <w:gridAfter w:val="1"/>
          <w:wAfter w:w="101" w:type="dxa"/>
          <w:jc w:val="center"/>
        </w:trPr>
        <w:tc>
          <w:tcPr>
            <w:tcW w:w="958"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5</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87 számú országos főút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.IV.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30 – 40m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6</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 xml:space="preserve">87 számú országos főút </w:t>
            </w:r>
            <w:r>
              <w:rPr>
                <w:rFonts w:ascii="Calibri" w:eastAsia="Calibri" w:hAnsi="Calibri" w:cs="Times New Roman"/>
              </w:rPr>
              <w:lastRenderedPageBreak/>
              <w:t xml:space="preserve">(Szombathely, </w:t>
            </w:r>
            <w:proofErr w:type="spellStart"/>
            <w:r>
              <w:rPr>
                <w:rFonts w:ascii="Calibri" w:eastAsia="Calibri" w:hAnsi="Calibri" w:cs="Times New Roman"/>
              </w:rPr>
              <w:t>Lékai</w:t>
            </w:r>
            <w:proofErr w:type="spellEnd"/>
            <w:r>
              <w:rPr>
                <w:rFonts w:ascii="Calibri" w:eastAsia="Calibri" w:hAnsi="Calibri" w:cs="Times New Roman"/>
              </w:rPr>
              <w:t xml:space="preserve"> utca)         </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lastRenderedPageBreak/>
              <w:t>B.IV.b</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40m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7</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rPr>
              <w:t>8627 jelű Fertőszentmiklós – Lövő - Kőszeg összekötő út</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8627 jelű országos mellékút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30m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9</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8627 jelű országos mellékút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10</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rPr>
              <w:t>8636 jelű Acsád – Kőszeg összekötő út</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11</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8636 jelű országos mellékút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30m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12</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8636 jelű országos mellékút (</w:t>
            </w:r>
            <w:proofErr w:type="spellStart"/>
            <w:r>
              <w:rPr>
                <w:rFonts w:ascii="Calibri" w:eastAsia="Calibri" w:hAnsi="Calibri" w:cs="Times New Roman"/>
              </w:rPr>
              <w:t>Kőszegfalvi</w:t>
            </w:r>
            <w:proofErr w:type="spellEnd"/>
            <w:r>
              <w:rPr>
                <w:rFonts w:ascii="Calibri" w:eastAsia="Calibri" w:hAnsi="Calibri" w:cs="Times New Roman"/>
              </w:rPr>
              <w:t xml:space="preserve"> utca)</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15 – 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13</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8719 jelű Kőszeg-Kőszegszerdahely összekötő út</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14</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8719 jelű országos mellékút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30m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15</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Tervezett 8719 jelű ök. út - déli elkerülő</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30m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16</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 xml:space="preserve">8719 jelű országos mellékút (Rákóczi, </w:t>
            </w:r>
            <w:proofErr w:type="spellStart"/>
            <w:r w:rsidRPr="00947834">
              <w:rPr>
                <w:rFonts w:ascii="Calibri" w:eastAsia="Calibri" w:hAnsi="Calibri" w:cs="Times New Roman"/>
                <w:szCs w:val="20"/>
              </w:rPr>
              <w:t>Rohonczi</w:t>
            </w:r>
            <w:proofErr w:type="spellEnd"/>
            <w:r w:rsidRPr="00947834">
              <w:rPr>
                <w:rFonts w:ascii="Calibri" w:eastAsia="Calibri" w:hAnsi="Calibri" w:cs="Times New Roman"/>
                <w:szCs w:val="20"/>
              </w:rPr>
              <w:t xml:space="preserve"> utca)</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15 – 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17</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86329 jelű Kőszeg vasútállomáshoz vezető út</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18</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86329 jelű országos mellékút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16m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19</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Városi II. rendű főútvonal</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20</w:t>
            </w:r>
          </w:p>
        </w:tc>
        <w:tc>
          <w:tcPr>
            <w:tcW w:w="3517" w:type="dxa"/>
            <w:gridSpan w:val="2"/>
          </w:tcPr>
          <w:p w:rsidR="009233B3" w:rsidRPr="00947834" w:rsidRDefault="009233B3" w:rsidP="00447230">
            <w:pPr>
              <w:jc w:val="center"/>
              <w:rPr>
                <w:rFonts w:ascii="Calibri" w:eastAsia="Calibri" w:hAnsi="Calibri" w:cs="Times New Roman"/>
                <w:szCs w:val="20"/>
              </w:rPr>
            </w:pPr>
            <w:r>
              <w:rPr>
                <w:rFonts w:ascii="Calibri" w:eastAsia="Calibri" w:hAnsi="Calibri" w:cs="Times New Roman"/>
                <w:szCs w:val="20"/>
              </w:rPr>
              <w:t>Kőszeg-Ólmod összekötő út</w:t>
            </w:r>
            <w:r w:rsidRPr="00947834">
              <w:rPr>
                <w:rFonts w:ascii="Calibri" w:eastAsia="Calibri" w:hAnsi="Calibri" w:cs="Times New Roman"/>
                <w:szCs w:val="20"/>
              </w:rPr>
              <w:t xml:space="preserve"> (meglévő nyomvonal felhasználásával)</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 – 30m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Gyűjtő utak – meglévő, megtartandó</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w:t>
            </w:r>
          </w:p>
        </w:tc>
        <w:tc>
          <w:tcPr>
            <w:tcW w:w="3517" w:type="dxa"/>
            <w:gridSpan w:val="2"/>
          </w:tcPr>
          <w:p w:rsidR="009233B3" w:rsidRPr="00947834" w:rsidRDefault="009233B3" w:rsidP="00447230">
            <w:pPr>
              <w:spacing w:after="0" w:line="256" w:lineRule="auto"/>
              <w:ind w:right="7"/>
              <w:jc w:val="center"/>
              <w:rPr>
                <w:rFonts w:ascii="Calibri" w:eastAsia="Calibri" w:hAnsi="Calibri" w:cs="Times New Roman"/>
                <w:szCs w:val="20"/>
              </w:rPr>
            </w:pPr>
            <w:r w:rsidRPr="00947834">
              <w:rPr>
                <w:rFonts w:ascii="Calibri" w:eastAsia="Calibri" w:hAnsi="Calibri" w:cs="Times New Roman"/>
                <w:szCs w:val="20"/>
              </w:rPr>
              <w:t>Rákóczi F. u. - Munkácsy M. u. – Kossuth L. u. – Fő tér –</w:t>
            </w:r>
          </w:p>
          <w:p w:rsidR="009233B3" w:rsidRPr="00947834" w:rsidRDefault="009233B3" w:rsidP="00447230">
            <w:pPr>
              <w:spacing w:after="0" w:line="256" w:lineRule="auto"/>
              <w:ind w:left="74"/>
              <w:jc w:val="center"/>
              <w:rPr>
                <w:rFonts w:ascii="Calibri" w:eastAsia="Calibri" w:hAnsi="Calibri" w:cs="Times New Roman"/>
                <w:szCs w:val="20"/>
              </w:rPr>
            </w:pPr>
            <w:r w:rsidRPr="00947834">
              <w:rPr>
                <w:rFonts w:ascii="Calibri" w:eastAsia="Calibri" w:hAnsi="Calibri" w:cs="Times New Roman"/>
                <w:szCs w:val="20"/>
              </w:rPr>
              <w:t xml:space="preserve">Várkör – Pék u. – Árpád tér – Sziget u. – Meskó u. – </w:t>
            </w:r>
            <w:proofErr w:type="spellStart"/>
            <w:r w:rsidRPr="00947834">
              <w:rPr>
                <w:rFonts w:ascii="Calibri" w:eastAsia="Calibri" w:hAnsi="Calibri" w:cs="Times New Roman"/>
                <w:szCs w:val="20"/>
              </w:rPr>
              <w:t>Kethelyi</w:t>
            </w:r>
            <w:proofErr w:type="spellEnd"/>
            <w:r w:rsidRPr="00947834">
              <w:rPr>
                <w:rFonts w:ascii="Calibri" w:eastAsia="Calibri" w:hAnsi="Calibri" w:cs="Times New Roman"/>
                <w:szCs w:val="20"/>
              </w:rPr>
              <w:t xml:space="preserve"> u. és a Pék u. – Várkör – Ady E. u. – Rákóczi F. u.</w:t>
            </w:r>
          </w:p>
        </w:tc>
        <w:tc>
          <w:tcPr>
            <w:tcW w:w="1700"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r>
              <w:rPr>
                <w:rFonts w:ascii="Calibri" w:eastAsia="Calibri" w:hAnsi="Calibri" w:cs="Times New Roman"/>
              </w:rPr>
              <w:t>kialakult</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23</w:t>
            </w:r>
          </w:p>
        </w:tc>
        <w:tc>
          <w:tcPr>
            <w:tcW w:w="3517" w:type="dxa"/>
            <w:gridSpan w:val="2"/>
          </w:tcPr>
          <w:p w:rsidR="009233B3" w:rsidRPr="00947834" w:rsidRDefault="009233B3" w:rsidP="00447230">
            <w:pPr>
              <w:jc w:val="center"/>
              <w:rPr>
                <w:rFonts w:ascii="Calibri" w:eastAsia="Calibri" w:hAnsi="Calibri" w:cs="Times New Roman"/>
                <w:szCs w:val="20"/>
              </w:rPr>
            </w:pPr>
            <w:r w:rsidRPr="00947834">
              <w:rPr>
                <w:rFonts w:ascii="Calibri" w:eastAsia="Calibri" w:hAnsi="Calibri" w:cs="Times New Roman"/>
                <w:szCs w:val="20"/>
              </w:rPr>
              <w:t xml:space="preserve">Bajcsy </w:t>
            </w:r>
            <w:proofErr w:type="spellStart"/>
            <w:r w:rsidRPr="00947834">
              <w:rPr>
                <w:rFonts w:ascii="Calibri" w:eastAsia="Calibri" w:hAnsi="Calibri" w:cs="Times New Roman"/>
                <w:szCs w:val="20"/>
              </w:rPr>
              <w:t>Zs</w:t>
            </w:r>
            <w:proofErr w:type="spellEnd"/>
            <w:r w:rsidRPr="00947834">
              <w:rPr>
                <w:rFonts w:ascii="Calibri" w:eastAsia="Calibri" w:hAnsi="Calibri" w:cs="Times New Roman"/>
                <w:szCs w:val="20"/>
              </w:rPr>
              <w:t xml:space="preserve">. E. u. – Dózsa </w:t>
            </w:r>
            <w:proofErr w:type="spellStart"/>
            <w:r w:rsidRPr="00947834">
              <w:rPr>
                <w:rFonts w:ascii="Calibri" w:eastAsia="Calibri" w:hAnsi="Calibri" w:cs="Times New Roman"/>
                <w:szCs w:val="20"/>
              </w:rPr>
              <w:t>Gy</w:t>
            </w:r>
            <w:proofErr w:type="spellEnd"/>
            <w:r w:rsidRPr="00947834">
              <w:rPr>
                <w:rFonts w:ascii="Calibri" w:eastAsia="Calibri" w:hAnsi="Calibri" w:cs="Times New Roman"/>
                <w:szCs w:val="20"/>
              </w:rPr>
              <w:t>. u.</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 w:val="16"/>
                <w:szCs w:val="16"/>
              </w:rPr>
              <w:t xml:space="preserve">min. </w:t>
            </w:r>
            <w:r>
              <w:rPr>
                <w:rFonts w:ascii="Calibri" w:eastAsia="Calibri" w:hAnsi="Calibri" w:cs="Times New Roman"/>
              </w:rPr>
              <w:t>16m</w:t>
            </w:r>
          </w:p>
        </w:tc>
      </w:tr>
      <w:tr w:rsidR="00EC7A32"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24</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Liszt F. u. - Petőfi tér - Kórház utca</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 w:val="16"/>
                <w:szCs w:val="16"/>
              </w:rPr>
              <w:t xml:space="preserve">min. </w:t>
            </w:r>
            <w:r>
              <w:rPr>
                <w:rFonts w:ascii="Calibri" w:eastAsia="Calibri" w:hAnsi="Calibri" w:cs="Times New Roman"/>
              </w:rPr>
              <w:t>20m</w:t>
            </w:r>
          </w:p>
        </w:tc>
      </w:tr>
      <w:tr w:rsidR="00EC7A32" w:rsidTr="008319E7">
        <w:trPr>
          <w:gridAfter w:val="1"/>
          <w:wAfter w:w="101" w:type="dxa"/>
          <w:jc w:val="center"/>
        </w:trPr>
        <w:tc>
          <w:tcPr>
            <w:tcW w:w="958"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25</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Petőfi tér</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 w:val="16"/>
                <w:szCs w:val="16"/>
              </w:rPr>
              <w:t xml:space="preserve">min. </w:t>
            </w:r>
            <w:r>
              <w:rPr>
                <w:rFonts w:ascii="Calibri" w:eastAsia="Calibri" w:hAnsi="Calibri" w:cs="Times New Roman"/>
              </w:rPr>
              <w:t>14m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26</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 xml:space="preserve">Velemi út - </w:t>
            </w:r>
            <w:proofErr w:type="spellStart"/>
            <w:r w:rsidRPr="00947834">
              <w:rPr>
                <w:rFonts w:ascii="Calibri" w:eastAsia="Calibri" w:hAnsi="Calibri" w:cs="Times New Roman"/>
                <w:szCs w:val="20"/>
              </w:rPr>
              <w:t>Rohonczi</w:t>
            </w:r>
            <w:proofErr w:type="spellEnd"/>
            <w:r w:rsidRPr="00947834">
              <w:rPr>
                <w:rFonts w:ascii="Calibri" w:eastAsia="Calibri" w:hAnsi="Calibri" w:cs="Times New Roman"/>
                <w:szCs w:val="20"/>
              </w:rPr>
              <w:t xml:space="preserve">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Pr="00947834" w:rsidRDefault="009233B3" w:rsidP="00447230">
            <w:pPr>
              <w:jc w:val="center"/>
              <w:rPr>
                <w:rFonts w:ascii="Calibri" w:eastAsia="Calibri" w:hAnsi="Calibri" w:cs="Times New Roman"/>
                <w:sz w:val="16"/>
                <w:szCs w:val="16"/>
              </w:rPr>
            </w:pPr>
            <w:r w:rsidRPr="00947834">
              <w:rPr>
                <w:rFonts w:ascii="Calibri" w:eastAsia="Calibri" w:hAnsi="Calibri" w:cs="Times New Roman"/>
                <w:sz w:val="16"/>
                <w:szCs w:val="16"/>
              </w:rPr>
              <w:t>kialakult</w:t>
            </w:r>
          </w:p>
          <w:p w:rsidR="009233B3" w:rsidRDefault="009233B3" w:rsidP="00447230">
            <w:pPr>
              <w:jc w:val="center"/>
              <w:rPr>
                <w:rFonts w:ascii="Calibri" w:eastAsia="Calibri" w:hAnsi="Calibri" w:cs="Times New Roman"/>
              </w:rPr>
            </w:pPr>
            <w:r w:rsidRPr="00947834">
              <w:rPr>
                <w:rFonts w:ascii="Calibri" w:eastAsia="Calibri" w:hAnsi="Calibri" w:cs="Times New Roman"/>
                <w:sz w:val="16"/>
                <w:szCs w:val="16"/>
              </w:rPr>
              <w:lastRenderedPageBreak/>
              <w:t xml:space="preserve">min. </w:t>
            </w:r>
            <w:r>
              <w:rPr>
                <w:rFonts w:ascii="Calibri" w:eastAsia="Calibri" w:hAnsi="Calibri" w:cs="Times New Roman"/>
              </w:rPr>
              <w:t>16m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lastRenderedPageBreak/>
              <w:t>27</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Temető u.</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16 - 22m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28</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Panoráma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29</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Királyvölgy út - Hunyadi u.</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20m</w:t>
            </w:r>
          </w:p>
          <w:p w:rsidR="009233B3" w:rsidRDefault="009233B3" w:rsidP="00447230">
            <w:pPr>
              <w:jc w:val="center"/>
              <w:rPr>
                <w:rFonts w:ascii="Calibri" w:eastAsia="Calibri" w:hAnsi="Calibri" w:cs="Times New Roman"/>
              </w:rPr>
            </w:pPr>
            <w:r>
              <w:rPr>
                <w:rFonts w:ascii="Calibri" w:eastAsia="Calibri" w:hAnsi="Calibri" w:cs="Times New Roman"/>
              </w:rPr>
              <w:t>12 –1 4m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30</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Szabóhegyi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31</w:t>
            </w:r>
          </w:p>
        </w:tc>
        <w:tc>
          <w:tcPr>
            <w:tcW w:w="3517" w:type="dxa"/>
            <w:gridSpan w:val="2"/>
          </w:tcPr>
          <w:p w:rsidR="009233B3" w:rsidRPr="00947834" w:rsidRDefault="009233B3" w:rsidP="00447230">
            <w:pPr>
              <w:spacing w:after="0" w:line="256" w:lineRule="auto"/>
              <w:ind w:right="4"/>
              <w:jc w:val="center"/>
              <w:rPr>
                <w:rFonts w:ascii="Calibri" w:eastAsia="Calibri" w:hAnsi="Calibri" w:cs="Times New Roman"/>
                <w:szCs w:val="20"/>
              </w:rPr>
            </w:pPr>
            <w:r w:rsidRPr="00947834">
              <w:rPr>
                <w:rFonts w:ascii="Calibri" w:eastAsia="Calibri" w:hAnsi="Calibri" w:cs="Times New Roman"/>
                <w:szCs w:val="20"/>
              </w:rPr>
              <w:t xml:space="preserve">8627 jelű országos mellékút </w:t>
            </w:r>
          </w:p>
          <w:p w:rsidR="009233B3" w:rsidRPr="00947834" w:rsidRDefault="009233B3" w:rsidP="00447230">
            <w:pPr>
              <w:spacing w:after="0" w:line="256" w:lineRule="auto"/>
              <w:ind w:right="6"/>
              <w:jc w:val="center"/>
              <w:rPr>
                <w:rFonts w:ascii="Calibri" w:eastAsia="Calibri" w:hAnsi="Calibri" w:cs="Times New Roman"/>
                <w:szCs w:val="20"/>
              </w:rPr>
            </w:pPr>
            <w:r w:rsidRPr="00947834">
              <w:rPr>
                <w:rFonts w:ascii="Calibri" w:eastAsia="Calibri" w:hAnsi="Calibri" w:cs="Times New Roman"/>
                <w:szCs w:val="20"/>
              </w:rPr>
              <w:t>87-8719 jelű önkormányzati út között tervezett átkötés</w:t>
            </w:r>
          </w:p>
        </w:tc>
        <w:tc>
          <w:tcPr>
            <w:tcW w:w="1700" w:type="dxa"/>
            <w:gridSpan w:val="2"/>
          </w:tcPr>
          <w:p w:rsidR="009233B3" w:rsidRPr="00947834" w:rsidRDefault="009233B3" w:rsidP="00447230">
            <w:pPr>
              <w:spacing w:after="0" w:line="256" w:lineRule="auto"/>
              <w:ind w:right="4"/>
              <w:jc w:val="center"/>
              <w:rPr>
                <w:rFonts w:ascii="Calibri" w:eastAsia="Calibri" w:hAnsi="Calibri" w:cs="Times New Roman"/>
                <w:szCs w:val="20"/>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Pr="00947834" w:rsidRDefault="009233B3" w:rsidP="00447230">
            <w:pPr>
              <w:spacing w:after="0" w:line="256" w:lineRule="auto"/>
              <w:ind w:right="2"/>
              <w:jc w:val="center"/>
              <w:rPr>
                <w:rFonts w:ascii="Calibri" w:eastAsia="Calibri" w:hAnsi="Calibri" w:cs="Times New Roman"/>
                <w:szCs w:val="20"/>
              </w:rPr>
            </w:pPr>
            <w:r>
              <w:rPr>
                <w:rFonts w:ascii="Calibri" w:eastAsia="Calibri" w:hAnsi="Calibri" w:cs="Times New Roman"/>
              </w:rPr>
              <w:t>2×1</w:t>
            </w:r>
          </w:p>
        </w:tc>
        <w:tc>
          <w:tcPr>
            <w:tcW w:w="1537" w:type="dxa"/>
            <w:gridSpan w:val="2"/>
          </w:tcPr>
          <w:p w:rsidR="009233B3" w:rsidRPr="00947834" w:rsidRDefault="009233B3" w:rsidP="00447230">
            <w:pPr>
              <w:spacing w:after="0" w:line="256" w:lineRule="auto"/>
              <w:ind w:right="2"/>
              <w:jc w:val="center"/>
              <w:rPr>
                <w:rFonts w:ascii="Calibri" w:eastAsia="Calibri" w:hAnsi="Calibri" w:cs="Times New Roman"/>
                <w:szCs w:val="20"/>
              </w:rPr>
            </w:pPr>
            <w:r>
              <w:rPr>
                <w:rFonts w:ascii="Calibri" w:eastAsia="Calibri" w:hAnsi="Calibri" w:cs="Times New Roman"/>
              </w:rPr>
              <w:t>16m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32</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Velembe vezető településközi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kialakult</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33</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Gyűjtő utak – tervezett</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34</w:t>
            </w:r>
          </w:p>
        </w:tc>
        <w:tc>
          <w:tcPr>
            <w:tcW w:w="3517" w:type="dxa"/>
            <w:gridSpan w:val="2"/>
          </w:tcPr>
          <w:p w:rsidR="009233B3" w:rsidRDefault="009233B3" w:rsidP="00447230">
            <w:pPr>
              <w:jc w:val="center"/>
              <w:rPr>
                <w:rFonts w:ascii="Calibri" w:eastAsia="Calibri" w:hAnsi="Calibri" w:cs="Times New Roman"/>
              </w:rPr>
            </w:pPr>
            <w:r>
              <w:rPr>
                <w:rFonts w:ascii="Calibri" w:eastAsia="Calibri" w:hAnsi="Calibri" w:cs="Times New Roman"/>
                <w:szCs w:val="20"/>
              </w:rPr>
              <w:t>Keleti gyűjtőút: a 87 számú</w:t>
            </w:r>
            <w:r w:rsidRPr="00947834">
              <w:rPr>
                <w:rFonts w:ascii="Calibri" w:eastAsia="Calibri" w:hAnsi="Calibri" w:cs="Times New Roman"/>
                <w:szCs w:val="20"/>
              </w:rPr>
              <w:t xml:space="preserve"> főúttal közel párhuzamosan, annak keleti oldalán húzódik:</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18 – 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35</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A keleti gyűj</w:t>
            </w:r>
            <w:r>
              <w:rPr>
                <w:rFonts w:ascii="Calibri" w:eastAsia="Calibri" w:hAnsi="Calibri" w:cs="Times New Roman"/>
                <w:szCs w:val="20"/>
              </w:rPr>
              <w:t>tőút és a 87 számú főút közötti ö</w:t>
            </w:r>
            <w:r w:rsidRPr="00947834">
              <w:rPr>
                <w:rFonts w:ascii="Calibri" w:eastAsia="Calibri" w:hAnsi="Calibri" w:cs="Times New Roman"/>
                <w:szCs w:val="20"/>
              </w:rPr>
              <w:t>sszekötések, új biztosított vasúti átjáróval</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18 – 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36</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 xml:space="preserve">A keleti gyűjtőút és vasút között (0121/7 </w:t>
            </w:r>
            <w:proofErr w:type="spellStart"/>
            <w:r w:rsidRPr="00947834">
              <w:rPr>
                <w:rFonts w:ascii="Calibri" w:eastAsia="Calibri" w:hAnsi="Calibri" w:cs="Times New Roman"/>
                <w:szCs w:val="20"/>
              </w:rPr>
              <w:t>hrsz</w:t>
            </w:r>
            <w:proofErr w:type="spellEnd"/>
            <w:r w:rsidRPr="00947834">
              <w:rPr>
                <w:rFonts w:ascii="Calibri" w:eastAsia="Calibri" w:hAnsi="Calibri" w:cs="Times New Roman"/>
                <w:szCs w:val="20"/>
              </w:rPr>
              <w:t>), meglévő átjáró megszűntetésével</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p w:rsidR="009233B3" w:rsidRDefault="009233B3" w:rsidP="00447230">
            <w:pPr>
              <w:jc w:val="center"/>
              <w:rPr>
                <w:rFonts w:ascii="Calibri" w:eastAsia="Calibri" w:hAnsi="Calibri" w:cs="Times New Roman"/>
              </w:rPr>
            </w:pP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15m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37</w:t>
            </w:r>
          </w:p>
        </w:tc>
        <w:tc>
          <w:tcPr>
            <w:tcW w:w="3517" w:type="dxa"/>
            <w:gridSpan w:val="2"/>
          </w:tcPr>
          <w:p w:rsidR="009233B3" w:rsidRPr="00947834" w:rsidRDefault="009233B3" w:rsidP="00447230">
            <w:pPr>
              <w:spacing w:after="0" w:line="256" w:lineRule="auto"/>
              <w:ind w:right="4"/>
              <w:jc w:val="center"/>
              <w:rPr>
                <w:rFonts w:ascii="Calibri" w:eastAsia="Calibri" w:hAnsi="Calibri" w:cs="Times New Roman"/>
                <w:szCs w:val="20"/>
              </w:rPr>
            </w:pPr>
            <w:r w:rsidRPr="00947834">
              <w:rPr>
                <w:rFonts w:ascii="Calibri" w:eastAsia="Calibri" w:hAnsi="Calibri" w:cs="Times New Roman"/>
                <w:szCs w:val="20"/>
              </w:rPr>
              <w:t xml:space="preserve">Kőszeg - </w:t>
            </w:r>
            <w:proofErr w:type="spellStart"/>
            <w:r w:rsidRPr="00947834">
              <w:rPr>
                <w:rFonts w:ascii="Calibri" w:eastAsia="Calibri" w:hAnsi="Calibri" w:cs="Times New Roman"/>
                <w:szCs w:val="20"/>
              </w:rPr>
              <w:t>Répcekethely</w:t>
            </w:r>
            <w:proofErr w:type="spellEnd"/>
            <w:r w:rsidRPr="00947834">
              <w:rPr>
                <w:rFonts w:ascii="Calibri" w:eastAsia="Calibri" w:hAnsi="Calibri" w:cs="Times New Roman"/>
                <w:szCs w:val="20"/>
              </w:rPr>
              <w:t xml:space="preserve"> / </w:t>
            </w:r>
            <w:proofErr w:type="spellStart"/>
            <w:r w:rsidRPr="00947834">
              <w:rPr>
                <w:rFonts w:ascii="Calibri" w:eastAsia="Calibri" w:hAnsi="Calibri" w:cs="Times New Roman"/>
                <w:szCs w:val="20"/>
              </w:rPr>
              <w:t>Mannersdorf</w:t>
            </w:r>
            <w:proofErr w:type="spellEnd"/>
            <w:r w:rsidRPr="00947834">
              <w:rPr>
                <w:rFonts w:ascii="Calibri" w:eastAsia="Calibri" w:hAnsi="Calibri" w:cs="Times New Roman"/>
                <w:szCs w:val="20"/>
              </w:rPr>
              <w:t xml:space="preserve"> településközi út </w:t>
            </w:r>
          </w:p>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(régi nyomvonalon)</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K</w:t>
            </w:r>
            <w:proofErr w:type="gramStart"/>
            <w:r>
              <w:rPr>
                <w:rFonts w:ascii="Calibri" w:eastAsia="Calibri" w:hAnsi="Calibri" w:cs="Times New Roman"/>
              </w:rPr>
              <w:t>.V.</w:t>
            </w:r>
            <w:proofErr w:type="gramEnd"/>
            <w:r>
              <w:rPr>
                <w:rFonts w:ascii="Calibri" w:eastAsia="Calibri" w:hAnsi="Calibri" w:cs="Times New Roman"/>
              </w:rPr>
              <w:t>A.</w:t>
            </w:r>
          </w:p>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22m</w:t>
            </w:r>
          </w:p>
          <w:p w:rsidR="009233B3" w:rsidRDefault="009233B3" w:rsidP="00447230">
            <w:pPr>
              <w:jc w:val="center"/>
              <w:rPr>
                <w:rFonts w:ascii="Calibri" w:eastAsia="Calibri" w:hAnsi="Calibri" w:cs="Times New Roman"/>
              </w:rPr>
            </w:pPr>
            <w:r>
              <w:rPr>
                <w:rFonts w:ascii="Calibri" w:eastAsia="Calibri" w:hAnsi="Calibri" w:cs="Times New Roman"/>
              </w:rPr>
              <w:t>12m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38</w:t>
            </w:r>
          </w:p>
        </w:tc>
        <w:tc>
          <w:tcPr>
            <w:tcW w:w="3517" w:type="dxa"/>
            <w:gridSpan w:val="2"/>
          </w:tcPr>
          <w:p w:rsidR="009233B3" w:rsidRPr="00947834" w:rsidRDefault="009233B3" w:rsidP="00447230">
            <w:pPr>
              <w:spacing w:after="0" w:line="256" w:lineRule="auto"/>
              <w:ind w:right="4"/>
              <w:jc w:val="center"/>
              <w:rPr>
                <w:rFonts w:ascii="Calibri" w:eastAsia="Calibri" w:hAnsi="Calibri" w:cs="Times New Roman"/>
                <w:szCs w:val="20"/>
              </w:rPr>
            </w:pPr>
            <w:r>
              <w:rPr>
                <w:rFonts w:ascii="Calibri" w:eastAsia="Calibri" w:hAnsi="Calibri" w:cs="Times New Roman"/>
                <w:szCs w:val="20"/>
              </w:rPr>
              <w:t>Temető u. és a 8719 jelű önkormányzati</w:t>
            </w:r>
            <w:r w:rsidRPr="00947834">
              <w:rPr>
                <w:rFonts w:ascii="Calibri" w:eastAsia="Calibri" w:hAnsi="Calibri" w:cs="Times New Roman"/>
                <w:szCs w:val="20"/>
              </w:rPr>
              <w:t xml:space="preserve"> út közötti nyomvonal </w:t>
            </w:r>
          </w:p>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„Hegyaljai körút”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18 – 20m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39</w:t>
            </w:r>
          </w:p>
        </w:tc>
        <w:tc>
          <w:tcPr>
            <w:tcW w:w="3517" w:type="dxa"/>
            <w:gridSpan w:val="2"/>
          </w:tcPr>
          <w:p w:rsidR="009233B3" w:rsidRDefault="009233B3" w:rsidP="00447230">
            <w:pPr>
              <w:jc w:val="center"/>
              <w:rPr>
                <w:rFonts w:ascii="Calibri" w:eastAsia="Calibri" w:hAnsi="Calibri" w:cs="Times New Roman"/>
              </w:rPr>
            </w:pPr>
            <w:proofErr w:type="spellStart"/>
            <w:r w:rsidRPr="00947834">
              <w:rPr>
                <w:rFonts w:ascii="Calibri" w:eastAsia="Calibri" w:hAnsi="Calibri" w:cs="Times New Roman"/>
                <w:szCs w:val="20"/>
              </w:rPr>
              <w:t>Lukácsházi</w:t>
            </w:r>
            <w:proofErr w:type="spellEnd"/>
            <w:r w:rsidRPr="00947834">
              <w:rPr>
                <w:rFonts w:ascii="Calibri" w:eastAsia="Calibri" w:hAnsi="Calibri" w:cs="Times New Roman"/>
                <w:szCs w:val="20"/>
              </w:rPr>
              <w:t xml:space="preserve"> tározó felé vezető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18m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40</w:t>
            </w:r>
          </w:p>
        </w:tc>
        <w:tc>
          <w:tcPr>
            <w:tcW w:w="3517" w:type="dxa"/>
            <w:gridSpan w:val="2"/>
          </w:tcPr>
          <w:p w:rsidR="009233B3" w:rsidRDefault="009233B3" w:rsidP="00447230">
            <w:pPr>
              <w:jc w:val="center"/>
              <w:rPr>
                <w:rFonts w:ascii="Calibri" w:eastAsia="Calibri" w:hAnsi="Calibri" w:cs="Times New Roman"/>
              </w:rPr>
            </w:pPr>
            <w:proofErr w:type="spellStart"/>
            <w:r w:rsidRPr="00947834">
              <w:rPr>
                <w:rFonts w:ascii="Calibri" w:eastAsia="Calibri" w:hAnsi="Calibri" w:cs="Times New Roman"/>
                <w:szCs w:val="20"/>
              </w:rPr>
              <w:t>Rohonczi</w:t>
            </w:r>
            <w:proofErr w:type="spellEnd"/>
            <w:r w:rsidRPr="00947834">
              <w:rPr>
                <w:rFonts w:ascii="Calibri" w:eastAsia="Calibri" w:hAnsi="Calibri" w:cs="Times New Roman"/>
                <w:szCs w:val="20"/>
              </w:rPr>
              <w:t xml:space="preserve"> út déli szakasza</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41</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 xml:space="preserve">Károlyi Mihály u. –SOS falu – </w:t>
            </w:r>
            <w:proofErr w:type="spellStart"/>
            <w:r w:rsidRPr="00947834">
              <w:rPr>
                <w:rFonts w:ascii="Calibri" w:eastAsia="Calibri" w:hAnsi="Calibri" w:cs="Times New Roman"/>
                <w:szCs w:val="20"/>
              </w:rPr>
              <w:t>Rohonczi</w:t>
            </w:r>
            <w:proofErr w:type="spellEnd"/>
            <w:r w:rsidRPr="00947834">
              <w:rPr>
                <w:rFonts w:ascii="Calibri" w:eastAsia="Calibri" w:hAnsi="Calibri" w:cs="Times New Roman"/>
                <w:szCs w:val="20"/>
              </w:rPr>
              <w:t xml:space="preserve"> út – Rákóczi utca – Pogányi út „Városi körút”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2×2</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16 - 18m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42</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Déli ipari parkot feltáró út</w:t>
            </w:r>
          </w:p>
        </w:tc>
        <w:tc>
          <w:tcPr>
            <w:tcW w:w="1700" w:type="dxa"/>
            <w:gridSpan w:val="2"/>
          </w:tcPr>
          <w:p w:rsidR="009233B3" w:rsidRDefault="009233B3" w:rsidP="00447230">
            <w:pPr>
              <w:jc w:val="center"/>
              <w:rPr>
                <w:rFonts w:ascii="Calibri" w:eastAsia="Calibri" w:hAnsi="Calibri" w:cs="Times New Roman"/>
              </w:rPr>
            </w:pPr>
            <w:proofErr w:type="spellStart"/>
            <w:r>
              <w:rPr>
                <w:rFonts w:ascii="Calibri" w:eastAsia="Calibri" w:hAnsi="Calibri" w:cs="Times New Roman"/>
              </w:rPr>
              <w:t>B.V.c</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16 - 20m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43</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rPr>
              <w:t>Lakóutcák</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lastRenderedPageBreak/>
              <w:t>44</w:t>
            </w:r>
          </w:p>
        </w:tc>
        <w:tc>
          <w:tcPr>
            <w:tcW w:w="3517" w:type="dxa"/>
            <w:gridSpan w:val="2"/>
          </w:tcPr>
          <w:p w:rsidR="00CB67ED" w:rsidRDefault="009233B3">
            <w:pPr>
              <w:jc w:val="center"/>
              <w:rPr>
                <w:rFonts w:ascii="Calibri" w:eastAsia="Calibri" w:hAnsi="Calibri" w:cs="Times New Roman"/>
              </w:rPr>
            </w:pPr>
            <w:r>
              <w:rPr>
                <w:rFonts w:ascii="Calibri" w:eastAsia="Calibri" w:hAnsi="Calibri" w:cs="Times New Roman"/>
              </w:rPr>
              <w:t>A városközpont kialakult szabályozási szélességű lakóutcái magtartandók. A tervezett lakóutcák szabályozási szélessége általában 12-16</w:t>
            </w:r>
            <w:r w:rsidR="008764AC">
              <w:rPr>
                <w:rFonts w:ascii="Calibri" w:eastAsia="Calibri" w:hAnsi="Calibri" w:cs="Times New Roman"/>
              </w:rPr>
              <w:t xml:space="preserve"> </w:t>
            </w:r>
            <w:r>
              <w:rPr>
                <w:rFonts w:ascii="Calibri" w:eastAsia="Calibri" w:hAnsi="Calibri" w:cs="Times New Roman"/>
              </w:rPr>
              <w:t xml:space="preserve">m, </w:t>
            </w:r>
            <w:r w:rsidR="007807A1">
              <w:rPr>
                <w:rFonts w:ascii="Calibri" w:eastAsia="Calibri" w:hAnsi="Calibri" w:cs="Times New Roman"/>
              </w:rPr>
              <w:t xml:space="preserve">de legalább 6 m, </w:t>
            </w:r>
            <w:r>
              <w:rPr>
                <w:rFonts w:ascii="Calibri" w:eastAsia="Calibri" w:hAnsi="Calibri" w:cs="Times New Roman"/>
              </w:rPr>
              <w:t xml:space="preserve">amennyiben a kialakult helyzet </w:t>
            </w:r>
            <w:proofErr w:type="gramStart"/>
            <w:r>
              <w:rPr>
                <w:rFonts w:ascii="Calibri" w:eastAsia="Calibri" w:hAnsi="Calibri" w:cs="Times New Roman"/>
              </w:rPr>
              <w:t>indokolja</w:t>
            </w:r>
            <w:proofErr w:type="gramEnd"/>
            <w:r>
              <w:rPr>
                <w:rFonts w:ascii="Calibri" w:eastAsia="Calibri" w:hAnsi="Calibri" w:cs="Times New Roman"/>
              </w:rPr>
              <w:t xml:space="preserve"> és közérdeket nem sért</w:t>
            </w:r>
          </w:p>
        </w:tc>
        <w:tc>
          <w:tcPr>
            <w:tcW w:w="1700"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proofErr w:type="spellStart"/>
            <w:r>
              <w:rPr>
                <w:rFonts w:ascii="Calibri" w:eastAsia="Calibri" w:hAnsi="Calibri" w:cs="Times New Roman"/>
              </w:rPr>
              <w:t>B.VI.d</w:t>
            </w:r>
            <w:proofErr w:type="spellEnd"/>
            <w:r>
              <w:rPr>
                <w:rFonts w:ascii="Calibri" w:eastAsia="Calibri" w:hAnsi="Calibri" w:cs="Times New Roman"/>
              </w:rPr>
              <w:t>.</w:t>
            </w:r>
          </w:p>
        </w:tc>
        <w:tc>
          <w:tcPr>
            <w:tcW w:w="1702"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r>
              <w:rPr>
                <w:rFonts w:ascii="Calibri" w:eastAsia="Calibri" w:hAnsi="Calibri" w:cs="Times New Roman"/>
              </w:rPr>
              <w:t>2×1</w:t>
            </w:r>
          </w:p>
        </w:tc>
        <w:tc>
          <w:tcPr>
            <w:tcW w:w="1537" w:type="dxa"/>
            <w:gridSpan w:val="2"/>
          </w:tcPr>
          <w:p w:rsidR="009233B3" w:rsidRDefault="009233B3" w:rsidP="00447230">
            <w:pPr>
              <w:jc w:val="center"/>
              <w:rPr>
                <w:rFonts w:ascii="Calibri" w:eastAsia="Calibri" w:hAnsi="Calibri" w:cs="Times New Roman"/>
              </w:rPr>
            </w:pPr>
          </w:p>
          <w:p w:rsidR="009233B3" w:rsidRDefault="009233B3" w:rsidP="00447230">
            <w:pPr>
              <w:jc w:val="center"/>
              <w:rPr>
                <w:rFonts w:ascii="Calibri" w:eastAsia="Calibri" w:hAnsi="Calibri" w:cs="Times New Roman"/>
              </w:rPr>
            </w:pPr>
          </w:p>
          <w:p w:rsidR="009233B3" w:rsidRDefault="007807A1" w:rsidP="00447230">
            <w:pPr>
              <w:jc w:val="center"/>
              <w:rPr>
                <w:rFonts w:ascii="Calibri" w:eastAsia="Calibri" w:hAnsi="Calibri" w:cs="Times New Roman"/>
              </w:rPr>
            </w:pPr>
            <w:r>
              <w:t>6</w:t>
            </w:r>
            <w:r w:rsidR="009233B3">
              <w:rPr>
                <w:rFonts w:ascii="Calibri" w:eastAsia="Calibri" w:hAnsi="Calibri" w:cs="Times New Roman"/>
              </w:rPr>
              <w:t xml:space="preserve"> - 16m</w:t>
            </w:r>
          </w:p>
        </w:tc>
      </w:tr>
      <w:tr w:rsidR="009233B3" w:rsidTr="008319E7">
        <w:trPr>
          <w:gridAfter w:val="1"/>
          <w:wAfter w:w="101" w:type="dxa"/>
          <w:jc w:val="center"/>
        </w:trPr>
        <w:tc>
          <w:tcPr>
            <w:tcW w:w="958"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45</w:t>
            </w:r>
          </w:p>
        </w:tc>
        <w:tc>
          <w:tcPr>
            <w:tcW w:w="8456" w:type="dxa"/>
            <w:gridSpan w:val="8"/>
          </w:tcPr>
          <w:p w:rsidR="009233B3" w:rsidRDefault="009233B3" w:rsidP="00447230">
            <w:pPr>
              <w:rPr>
                <w:rFonts w:ascii="Calibri" w:eastAsia="Calibri" w:hAnsi="Calibri" w:cs="Times New Roman"/>
              </w:rPr>
            </w:pPr>
            <w:r w:rsidRPr="00947834">
              <w:rPr>
                <w:rFonts w:ascii="Calibri" w:eastAsia="Calibri" w:hAnsi="Calibri" w:cs="Times New Roman"/>
                <w:b/>
                <w:szCs w:val="20"/>
              </w:rPr>
              <w:t>Kerékpáros nyomvonalak</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46</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Kőszeg-Kőszegfalva kerékpárút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B.IX.</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47</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Belváros forgalmi útjai mellett kerékpárút</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B.IX.</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4m</w:t>
            </w:r>
          </w:p>
        </w:tc>
      </w:tr>
      <w:tr w:rsidR="009233B3" w:rsidTr="008319E7">
        <w:tblPrEx>
          <w:jc w:val="left"/>
        </w:tblPrEx>
        <w:trPr>
          <w:gridBefore w:val="1"/>
          <w:wBefore w:w="148" w:type="dxa"/>
        </w:trPr>
        <w:tc>
          <w:tcPr>
            <w:tcW w:w="911"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48</w:t>
            </w:r>
          </w:p>
        </w:tc>
        <w:tc>
          <w:tcPr>
            <w:tcW w:w="3517" w:type="dxa"/>
            <w:gridSpan w:val="2"/>
          </w:tcPr>
          <w:p w:rsidR="009233B3" w:rsidRDefault="009233B3" w:rsidP="00447230">
            <w:pPr>
              <w:jc w:val="center"/>
              <w:rPr>
                <w:rFonts w:ascii="Calibri" w:eastAsia="Calibri" w:hAnsi="Calibri" w:cs="Times New Roman"/>
              </w:rPr>
            </w:pPr>
            <w:r w:rsidRPr="00947834">
              <w:rPr>
                <w:rFonts w:ascii="Calibri" w:eastAsia="Calibri" w:hAnsi="Calibri" w:cs="Times New Roman"/>
                <w:szCs w:val="20"/>
              </w:rPr>
              <w:t>Rőtfalva- Nemezgyár (volt vasúti nyomvonal)</w:t>
            </w:r>
          </w:p>
        </w:tc>
        <w:tc>
          <w:tcPr>
            <w:tcW w:w="1700"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B.IX.</w:t>
            </w:r>
          </w:p>
        </w:tc>
        <w:tc>
          <w:tcPr>
            <w:tcW w:w="1702"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w:t>
            </w:r>
          </w:p>
        </w:tc>
        <w:tc>
          <w:tcPr>
            <w:tcW w:w="1537" w:type="dxa"/>
            <w:gridSpan w:val="2"/>
          </w:tcPr>
          <w:p w:rsidR="009233B3" w:rsidRDefault="009233B3" w:rsidP="00447230">
            <w:pPr>
              <w:jc w:val="center"/>
              <w:rPr>
                <w:rFonts w:ascii="Calibri" w:eastAsia="Calibri" w:hAnsi="Calibri" w:cs="Times New Roman"/>
              </w:rPr>
            </w:pPr>
            <w:r>
              <w:rPr>
                <w:rFonts w:ascii="Calibri" w:eastAsia="Calibri" w:hAnsi="Calibri" w:cs="Times New Roman"/>
              </w:rPr>
              <w:t>4m</w:t>
            </w:r>
          </w:p>
        </w:tc>
      </w:tr>
    </w:tbl>
    <w:p w:rsidR="00CB67ED" w:rsidRDefault="00CB67ED" w:rsidP="008319E7">
      <w:pPr>
        <w:pStyle w:val="Nincstrkz"/>
        <w:ind w:left="-142" w:right="-425"/>
        <w:jc w:val="both"/>
        <w:rPr>
          <w:rFonts w:ascii="Times New Roman" w:hAnsi="Times New Roman"/>
          <w:sz w:val="24"/>
          <w:szCs w:val="24"/>
        </w:rPr>
      </w:pPr>
    </w:p>
    <w:p w:rsidR="00430079" w:rsidRDefault="00165B02">
      <w:pPr>
        <w:pStyle w:val="Nincstrkz"/>
        <w:numPr>
          <w:ilvl w:val="0"/>
          <w:numId w:val="6"/>
        </w:numPr>
        <w:ind w:right="-425"/>
        <w:jc w:val="both"/>
        <w:rPr>
          <w:rFonts w:ascii="Times New Roman" w:hAnsi="Times New Roman"/>
          <w:sz w:val="24"/>
          <w:szCs w:val="24"/>
        </w:rPr>
      </w:pPr>
      <w:r w:rsidRPr="008C3921">
        <w:rPr>
          <w:rFonts w:ascii="Times New Roman" w:hAnsi="Times New Roman"/>
          <w:sz w:val="24"/>
          <w:szCs w:val="24"/>
        </w:rPr>
        <w:t>A Rendelet 50.§ (9) bekezdése helyébe a következő rendelkezés lép:</w:t>
      </w:r>
    </w:p>
    <w:p w:rsidR="00430079" w:rsidRDefault="00842BC8">
      <w:pPr>
        <w:pStyle w:val="Nincstrkz"/>
        <w:ind w:left="-142"/>
        <w:jc w:val="both"/>
        <w:rPr>
          <w:rFonts w:ascii="Times New Roman" w:hAnsi="Times New Roman"/>
          <w:sz w:val="24"/>
          <w:szCs w:val="24"/>
        </w:rPr>
      </w:pPr>
      <w:r>
        <w:rPr>
          <w:rFonts w:ascii="Times New Roman" w:hAnsi="Times New Roman"/>
          <w:sz w:val="24"/>
          <w:szCs w:val="24"/>
        </w:rPr>
        <w:t>„</w:t>
      </w:r>
      <w:r w:rsidR="00165B02" w:rsidRPr="008C3921">
        <w:rPr>
          <w:rFonts w:ascii="Times New Roman" w:hAnsi="Times New Roman"/>
          <w:sz w:val="24"/>
          <w:szCs w:val="24"/>
        </w:rPr>
        <w:t xml:space="preserve">(9) </w:t>
      </w:r>
      <w:r w:rsidR="008C3921" w:rsidRPr="008C3921">
        <w:rPr>
          <w:rFonts w:ascii="Times New Roman" w:hAnsi="Times New Roman"/>
          <w:sz w:val="24"/>
          <w:szCs w:val="24"/>
        </w:rPr>
        <w:t xml:space="preserve">A szabályozási tervlapon közterületként nem jelölt meglévő utak a tervlapon jelölt </w:t>
      </w:r>
      <w:proofErr w:type="spellStart"/>
      <w:r w:rsidR="008C3921" w:rsidRPr="008C3921">
        <w:rPr>
          <w:rFonts w:ascii="Times New Roman" w:hAnsi="Times New Roman"/>
          <w:sz w:val="24"/>
          <w:szCs w:val="24"/>
        </w:rPr>
        <w:t>területfelhasználási</w:t>
      </w:r>
      <w:proofErr w:type="spellEnd"/>
      <w:r w:rsidR="008C3921" w:rsidRPr="008C3921">
        <w:rPr>
          <w:rFonts w:ascii="Times New Roman" w:hAnsi="Times New Roman"/>
          <w:sz w:val="24"/>
          <w:szCs w:val="24"/>
        </w:rPr>
        <w:t xml:space="preserve"> egységbe kerülhetnek, ha az általuk feltárt telkek más meglévő vagy újonnan megépített személygépjármű közlekedésére alkalmas </w:t>
      </w:r>
      <w:r w:rsidR="009D5033" w:rsidRPr="00DE7B9B">
        <w:rPr>
          <w:rFonts w:ascii="Times New Roman" w:hAnsi="Times New Roman"/>
          <w:sz w:val="24"/>
          <w:szCs w:val="24"/>
        </w:rPr>
        <w:t>közterületről</w:t>
      </w:r>
      <w:r w:rsidR="008C3921" w:rsidRPr="008C3921">
        <w:rPr>
          <w:rFonts w:ascii="Times New Roman" w:hAnsi="Times New Roman"/>
          <w:sz w:val="24"/>
          <w:szCs w:val="24"/>
        </w:rPr>
        <w:t xml:space="preserve"> megközelíthetők, valamint a terület csapadékvíz-elvezetése más módon biztosított.</w:t>
      </w:r>
      <w:r>
        <w:rPr>
          <w:rFonts w:ascii="Times New Roman" w:hAnsi="Times New Roman"/>
          <w:sz w:val="24"/>
          <w:szCs w:val="24"/>
        </w:rPr>
        <w:t>”</w:t>
      </w:r>
    </w:p>
    <w:p w:rsidR="00B156CB" w:rsidRPr="008C3921" w:rsidRDefault="00B156CB" w:rsidP="00B156CB">
      <w:pPr>
        <w:pStyle w:val="Nincstrkz"/>
        <w:numPr>
          <w:ilvl w:val="0"/>
          <w:numId w:val="6"/>
        </w:numPr>
        <w:ind w:right="-425"/>
        <w:jc w:val="both"/>
        <w:rPr>
          <w:rFonts w:ascii="Times New Roman" w:hAnsi="Times New Roman"/>
          <w:sz w:val="24"/>
          <w:szCs w:val="24"/>
        </w:rPr>
      </w:pPr>
      <w:r w:rsidRPr="008C3921">
        <w:rPr>
          <w:rFonts w:ascii="Times New Roman" w:hAnsi="Times New Roman"/>
          <w:sz w:val="24"/>
          <w:szCs w:val="24"/>
        </w:rPr>
        <w:t>A Rendelet 50.§ (</w:t>
      </w:r>
      <w:r>
        <w:rPr>
          <w:rFonts w:ascii="Times New Roman" w:hAnsi="Times New Roman"/>
          <w:sz w:val="24"/>
          <w:szCs w:val="24"/>
        </w:rPr>
        <w:t>11</w:t>
      </w:r>
      <w:r w:rsidRPr="008C3921">
        <w:rPr>
          <w:rFonts w:ascii="Times New Roman" w:hAnsi="Times New Roman"/>
          <w:sz w:val="24"/>
          <w:szCs w:val="24"/>
        </w:rPr>
        <w:t>) bekezdése helyébe a következő rendelkezés lép:</w:t>
      </w:r>
    </w:p>
    <w:p w:rsidR="00430079" w:rsidRDefault="00B156CB">
      <w:pPr>
        <w:pStyle w:val="Nincstrkz"/>
        <w:ind w:left="-142"/>
        <w:jc w:val="both"/>
        <w:rPr>
          <w:rFonts w:ascii="Times New Roman" w:hAnsi="Times New Roman"/>
          <w:sz w:val="24"/>
          <w:szCs w:val="24"/>
        </w:rPr>
      </w:pPr>
      <w:r>
        <w:rPr>
          <w:rFonts w:ascii="Times New Roman" w:hAnsi="Times New Roman"/>
          <w:sz w:val="24"/>
          <w:szCs w:val="24"/>
        </w:rPr>
        <w:t>„(11) Lakó-, vegyes-, üdülőházas- és különleges területeken belül út számára telket kialakítani, meglévő út telkét módosítani csak a szabályozási tervben meghatározott szabályozási vonalak szerint lehetséges.”</w:t>
      </w:r>
    </w:p>
    <w:p w:rsidR="00BF252B" w:rsidRPr="008C3921" w:rsidRDefault="00BF252B" w:rsidP="00816DED">
      <w:pPr>
        <w:spacing w:after="0" w:line="240" w:lineRule="auto"/>
        <w:ind w:left="-284"/>
        <w:rPr>
          <w:rFonts w:ascii="Times New Roman" w:hAnsi="Times New Roman" w:cs="Times New Roman"/>
          <w:sz w:val="24"/>
          <w:szCs w:val="24"/>
        </w:rPr>
      </w:pPr>
    </w:p>
    <w:p w:rsidR="008D5BFF" w:rsidRPr="008C3921" w:rsidRDefault="00862F86"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w:t>
      </w:r>
      <w:r w:rsidR="008D5BFF" w:rsidRPr="008C3921">
        <w:rPr>
          <w:rFonts w:ascii="Times New Roman" w:hAnsi="Times New Roman" w:cs="Times New Roman"/>
          <w:b/>
          <w:sz w:val="24"/>
          <w:szCs w:val="24"/>
        </w:rPr>
        <w:t>.§</w:t>
      </w:r>
    </w:p>
    <w:p w:rsidR="008D5BFF" w:rsidRPr="008C3921" w:rsidRDefault="008D5BFF" w:rsidP="00816DED">
      <w:pPr>
        <w:spacing w:after="0" w:line="240" w:lineRule="auto"/>
        <w:rPr>
          <w:rFonts w:ascii="Times New Roman" w:hAnsi="Times New Roman" w:cs="Times New Roman"/>
          <w:sz w:val="24"/>
          <w:szCs w:val="24"/>
        </w:rPr>
      </w:pPr>
    </w:p>
    <w:p w:rsidR="008D5BFF" w:rsidRPr="008C3921" w:rsidRDefault="008D5BFF" w:rsidP="00816DED">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60</w:t>
      </w:r>
      <w:r w:rsidRPr="008C3921">
        <w:rPr>
          <w:rFonts w:ascii="Times New Roman" w:hAnsi="Times New Roman"/>
          <w:sz w:val="24"/>
          <w:szCs w:val="24"/>
        </w:rPr>
        <w:t>.§ (</w:t>
      </w:r>
      <w:r>
        <w:rPr>
          <w:rFonts w:ascii="Times New Roman" w:hAnsi="Times New Roman"/>
          <w:sz w:val="24"/>
          <w:szCs w:val="24"/>
        </w:rPr>
        <w:t>2</w:t>
      </w:r>
      <w:r w:rsidRPr="008C3921">
        <w:rPr>
          <w:rFonts w:ascii="Times New Roman" w:hAnsi="Times New Roman"/>
          <w:sz w:val="24"/>
          <w:szCs w:val="24"/>
        </w:rPr>
        <w:t>) bekezdése helyébe a következő rendelkezés lép:</w:t>
      </w:r>
    </w:p>
    <w:p w:rsidR="00BF252B" w:rsidRPr="008C3921" w:rsidRDefault="00842BC8" w:rsidP="00816DED">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8D5BFF">
        <w:rPr>
          <w:rFonts w:ascii="Times New Roman" w:hAnsi="Times New Roman" w:cs="Times New Roman"/>
          <w:sz w:val="24"/>
          <w:szCs w:val="24"/>
        </w:rPr>
        <w:t>(</w:t>
      </w:r>
      <w:r w:rsidR="00816DED">
        <w:rPr>
          <w:rFonts w:ascii="Times New Roman" w:hAnsi="Times New Roman" w:cs="Times New Roman"/>
          <w:sz w:val="24"/>
          <w:szCs w:val="24"/>
        </w:rPr>
        <w:t>2</w:t>
      </w:r>
      <w:r w:rsidR="008D5BFF">
        <w:rPr>
          <w:rFonts w:ascii="Times New Roman" w:hAnsi="Times New Roman" w:cs="Times New Roman"/>
          <w:sz w:val="24"/>
          <w:szCs w:val="24"/>
        </w:rPr>
        <w:t>) Az övezetek területén meglévő épület átalakítása és új épület építése esetén a közterület fel</w:t>
      </w:r>
      <w:r w:rsidR="00DA198D">
        <w:rPr>
          <w:rFonts w:ascii="Times New Roman" w:hAnsi="Times New Roman" w:cs="Times New Roman"/>
          <w:sz w:val="24"/>
          <w:szCs w:val="24"/>
        </w:rPr>
        <w:t>ő</w:t>
      </w:r>
      <w:r w:rsidR="008D5BFF">
        <w:rPr>
          <w:rFonts w:ascii="Times New Roman" w:hAnsi="Times New Roman" w:cs="Times New Roman"/>
          <w:sz w:val="24"/>
          <w:szCs w:val="24"/>
        </w:rPr>
        <w:t>li homlokzatmagasság, valamin</w:t>
      </w:r>
      <w:r w:rsidR="00DA198D">
        <w:rPr>
          <w:rFonts w:ascii="Times New Roman" w:hAnsi="Times New Roman" w:cs="Times New Roman"/>
          <w:sz w:val="24"/>
          <w:szCs w:val="24"/>
        </w:rPr>
        <w:t>t</w:t>
      </w:r>
      <w:r w:rsidR="008D5BFF">
        <w:rPr>
          <w:rFonts w:ascii="Times New Roman" w:hAnsi="Times New Roman" w:cs="Times New Roman"/>
          <w:sz w:val="24"/>
          <w:szCs w:val="24"/>
        </w:rPr>
        <w:t xml:space="preserve"> oldalhatáron álló beépítés esetén a beépített oldalhatár homlokzatmagassága az övezetre előírt épületmagasságot csak 5%-nál nagyobb lejtős terepen és százalékonként 10 cm-el, de legfeljebb 1,5 m-el haladhatja meg.</w:t>
      </w:r>
      <w:r>
        <w:rPr>
          <w:rFonts w:ascii="Times New Roman" w:hAnsi="Times New Roman" w:cs="Times New Roman"/>
          <w:sz w:val="24"/>
          <w:szCs w:val="24"/>
        </w:rPr>
        <w:t>”</w:t>
      </w:r>
    </w:p>
    <w:p w:rsidR="00BF252B" w:rsidRDefault="00BF252B" w:rsidP="00816DED">
      <w:pPr>
        <w:spacing w:after="0" w:line="240" w:lineRule="auto"/>
        <w:rPr>
          <w:rFonts w:ascii="Times New Roman" w:hAnsi="Times New Roman" w:cs="Times New Roman"/>
          <w:sz w:val="24"/>
          <w:szCs w:val="24"/>
        </w:rPr>
      </w:pPr>
    </w:p>
    <w:p w:rsidR="00B3634D" w:rsidRPr="008C3921" w:rsidRDefault="00862F86" w:rsidP="00B3634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9</w:t>
      </w:r>
      <w:r w:rsidR="00B3634D" w:rsidRPr="008C3921">
        <w:rPr>
          <w:rFonts w:ascii="Times New Roman" w:hAnsi="Times New Roman" w:cs="Times New Roman"/>
          <w:b/>
          <w:sz w:val="24"/>
          <w:szCs w:val="24"/>
        </w:rPr>
        <w:t>.§</w:t>
      </w:r>
    </w:p>
    <w:p w:rsidR="00B3634D" w:rsidRPr="008C3921" w:rsidRDefault="00B3634D" w:rsidP="00B3634D">
      <w:pPr>
        <w:spacing w:after="0" w:line="240" w:lineRule="auto"/>
        <w:jc w:val="both"/>
        <w:rPr>
          <w:rFonts w:ascii="Times New Roman" w:hAnsi="Times New Roman" w:cs="Times New Roman"/>
          <w:sz w:val="24"/>
          <w:szCs w:val="24"/>
        </w:rPr>
      </w:pPr>
    </w:p>
    <w:p w:rsidR="00B3634D" w:rsidRPr="008C3921" w:rsidRDefault="00B3634D" w:rsidP="004124BB">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62</w:t>
      </w:r>
      <w:r w:rsidRPr="008C3921">
        <w:rPr>
          <w:rFonts w:ascii="Times New Roman" w:hAnsi="Times New Roman"/>
          <w:sz w:val="24"/>
          <w:szCs w:val="24"/>
        </w:rPr>
        <w:t>.§ (</w:t>
      </w:r>
      <w:r>
        <w:rPr>
          <w:rFonts w:ascii="Times New Roman" w:hAnsi="Times New Roman"/>
          <w:sz w:val="24"/>
          <w:szCs w:val="24"/>
        </w:rPr>
        <w:t>3</w:t>
      </w:r>
      <w:r w:rsidRPr="008C3921">
        <w:rPr>
          <w:rFonts w:ascii="Times New Roman" w:hAnsi="Times New Roman"/>
          <w:sz w:val="24"/>
          <w:szCs w:val="24"/>
        </w:rPr>
        <w:t>) bekezdése helyébe a következő rendelkezés lép:</w:t>
      </w:r>
    </w:p>
    <w:p w:rsidR="00BF252B" w:rsidRPr="008C3921" w:rsidRDefault="00842BC8" w:rsidP="00154C80">
      <w:pPr>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w:t>
      </w:r>
      <w:r w:rsidR="00B3634D">
        <w:rPr>
          <w:rFonts w:ascii="Times New Roman" w:hAnsi="Times New Roman" w:cs="Times New Roman"/>
          <w:sz w:val="24"/>
          <w:szCs w:val="24"/>
        </w:rPr>
        <w:t>(3) Az övezet területein telkenként - az OTÉK előírásainak megtartásával - legfeljebb egy gazdasági épület és egy lakóépület helyezhető el.</w:t>
      </w:r>
      <w:r>
        <w:rPr>
          <w:rFonts w:ascii="Times New Roman" w:hAnsi="Times New Roman" w:cs="Times New Roman"/>
          <w:sz w:val="24"/>
          <w:szCs w:val="24"/>
        </w:rPr>
        <w:t>”</w:t>
      </w:r>
    </w:p>
    <w:p w:rsidR="00BF252B" w:rsidRPr="008C3921" w:rsidRDefault="00BF252B" w:rsidP="00816DED">
      <w:pPr>
        <w:spacing w:after="0" w:line="240" w:lineRule="auto"/>
        <w:rPr>
          <w:rFonts w:ascii="Times New Roman" w:hAnsi="Times New Roman" w:cs="Times New Roman"/>
          <w:sz w:val="24"/>
          <w:szCs w:val="24"/>
        </w:rPr>
      </w:pPr>
    </w:p>
    <w:p w:rsidR="00507809" w:rsidRPr="008C3921" w:rsidRDefault="00507809" w:rsidP="005078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862F86">
        <w:rPr>
          <w:rFonts w:ascii="Times New Roman" w:hAnsi="Times New Roman" w:cs="Times New Roman"/>
          <w:b/>
          <w:sz w:val="24"/>
          <w:szCs w:val="24"/>
        </w:rPr>
        <w:t>0</w:t>
      </w:r>
      <w:r w:rsidRPr="008C3921">
        <w:rPr>
          <w:rFonts w:ascii="Times New Roman" w:hAnsi="Times New Roman" w:cs="Times New Roman"/>
          <w:b/>
          <w:sz w:val="24"/>
          <w:szCs w:val="24"/>
        </w:rPr>
        <w:t>.§</w:t>
      </w:r>
    </w:p>
    <w:p w:rsidR="00507809" w:rsidRPr="008C3921" w:rsidRDefault="00507809" w:rsidP="00507809">
      <w:pPr>
        <w:spacing w:after="0" w:line="240" w:lineRule="auto"/>
        <w:rPr>
          <w:rFonts w:ascii="Times New Roman" w:hAnsi="Times New Roman" w:cs="Times New Roman"/>
          <w:sz w:val="24"/>
          <w:szCs w:val="24"/>
        </w:rPr>
      </w:pPr>
    </w:p>
    <w:p w:rsidR="00507809" w:rsidRDefault="00507809" w:rsidP="00507809">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3</w:t>
      </w:r>
      <w:r w:rsidRPr="008C3921">
        <w:rPr>
          <w:rFonts w:ascii="Times New Roman" w:hAnsi="Times New Roman"/>
          <w:sz w:val="24"/>
          <w:szCs w:val="24"/>
        </w:rPr>
        <w:t>.§</w:t>
      </w:r>
      <w:r>
        <w:rPr>
          <w:rFonts w:ascii="Times New Roman" w:hAnsi="Times New Roman"/>
          <w:sz w:val="24"/>
          <w:szCs w:val="24"/>
        </w:rPr>
        <w:t xml:space="preserve"> (3) </w:t>
      </w:r>
      <w:r w:rsidR="00D62CCC">
        <w:rPr>
          <w:rFonts w:ascii="Times New Roman" w:hAnsi="Times New Roman"/>
          <w:sz w:val="24"/>
          <w:szCs w:val="24"/>
        </w:rPr>
        <w:t xml:space="preserve">bekezdés </w:t>
      </w:r>
      <w:r w:rsidR="00A26C99">
        <w:rPr>
          <w:rFonts w:ascii="Times New Roman" w:hAnsi="Times New Roman"/>
          <w:sz w:val="24"/>
          <w:szCs w:val="24"/>
        </w:rPr>
        <w:t xml:space="preserve">a) pontja </w:t>
      </w:r>
      <w:r w:rsidRPr="008C3921">
        <w:rPr>
          <w:rFonts w:ascii="Times New Roman" w:hAnsi="Times New Roman"/>
          <w:sz w:val="24"/>
          <w:szCs w:val="24"/>
        </w:rPr>
        <w:t xml:space="preserve">a következő </w:t>
      </w:r>
      <w:proofErr w:type="spellStart"/>
      <w:r>
        <w:rPr>
          <w:rFonts w:ascii="Times New Roman" w:hAnsi="Times New Roman"/>
          <w:sz w:val="24"/>
          <w:szCs w:val="24"/>
        </w:rPr>
        <w:t>a</w:t>
      </w:r>
      <w:r w:rsidR="00A26C99">
        <w:rPr>
          <w:rFonts w:ascii="Times New Roman" w:hAnsi="Times New Roman"/>
          <w:sz w:val="24"/>
          <w:szCs w:val="24"/>
        </w:rPr>
        <w:t>c</w:t>
      </w:r>
      <w:proofErr w:type="spellEnd"/>
      <w:r>
        <w:rPr>
          <w:rFonts w:ascii="Times New Roman" w:hAnsi="Times New Roman"/>
          <w:sz w:val="24"/>
          <w:szCs w:val="24"/>
        </w:rPr>
        <w:t xml:space="preserve">) </w:t>
      </w:r>
      <w:r w:rsidR="00A26C99">
        <w:rPr>
          <w:rFonts w:ascii="Times New Roman" w:hAnsi="Times New Roman"/>
          <w:sz w:val="24"/>
          <w:szCs w:val="24"/>
        </w:rPr>
        <w:t>al</w:t>
      </w:r>
      <w:r>
        <w:rPr>
          <w:rFonts w:ascii="Times New Roman" w:hAnsi="Times New Roman"/>
          <w:sz w:val="24"/>
          <w:szCs w:val="24"/>
        </w:rPr>
        <w:t xml:space="preserve">ponttal </w:t>
      </w:r>
      <w:r w:rsidRPr="008C3921">
        <w:rPr>
          <w:rFonts w:ascii="Times New Roman" w:hAnsi="Times New Roman"/>
          <w:sz w:val="24"/>
          <w:szCs w:val="24"/>
        </w:rPr>
        <w:t>egészül ki:</w:t>
      </w:r>
    </w:p>
    <w:p w:rsidR="00430079" w:rsidRDefault="00A26C99">
      <w:pPr>
        <w:pStyle w:val="Nincstrkz"/>
        <w:ind w:left="-284" w:right="-425" w:firstLine="426"/>
        <w:jc w:val="both"/>
        <w:rPr>
          <w:rFonts w:ascii="Times New Roman" w:hAnsi="Times New Roman"/>
          <w:sz w:val="24"/>
          <w:szCs w:val="24"/>
        </w:rPr>
      </w:pPr>
      <w:r>
        <w:rPr>
          <w:rFonts w:ascii="Times New Roman" w:hAnsi="Times New Roman"/>
          <w:sz w:val="24"/>
          <w:szCs w:val="24"/>
        </w:rPr>
        <w:t>„</w:t>
      </w:r>
      <w:proofErr w:type="spellStart"/>
      <w:r w:rsidR="00D62CCC">
        <w:rPr>
          <w:rFonts w:ascii="Times New Roman" w:hAnsi="Times New Roman"/>
          <w:sz w:val="24"/>
          <w:szCs w:val="24"/>
        </w:rPr>
        <w:t>a</w:t>
      </w:r>
      <w:r>
        <w:rPr>
          <w:rFonts w:ascii="Times New Roman" w:hAnsi="Times New Roman"/>
          <w:sz w:val="24"/>
          <w:szCs w:val="24"/>
        </w:rPr>
        <w:t>c</w:t>
      </w:r>
      <w:proofErr w:type="spellEnd"/>
      <w:r w:rsidR="00D62CCC">
        <w:rPr>
          <w:rFonts w:ascii="Times New Roman" w:hAnsi="Times New Roman"/>
          <w:sz w:val="24"/>
          <w:szCs w:val="24"/>
        </w:rPr>
        <w:t>)</w:t>
      </w:r>
      <w:r w:rsidR="00D62CCC">
        <w:rPr>
          <w:rFonts w:ascii="Times New Roman" w:hAnsi="Times New Roman"/>
          <w:sz w:val="24"/>
          <w:szCs w:val="24"/>
        </w:rPr>
        <w:tab/>
        <w:t>Hírközlési terület</w:t>
      </w:r>
      <w:r w:rsidR="00D62CCC">
        <w:rPr>
          <w:rFonts w:ascii="Times New Roman" w:hAnsi="Times New Roman"/>
          <w:sz w:val="24"/>
          <w:szCs w:val="24"/>
        </w:rPr>
        <w:tab/>
      </w:r>
      <w:r w:rsidR="00D62CCC">
        <w:rPr>
          <w:rFonts w:ascii="Times New Roman" w:hAnsi="Times New Roman"/>
          <w:sz w:val="24"/>
          <w:szCs w:val="24"/>
        </w:rPr>
        <w:tab/>
      </w:r>
      <w:r w:rsidR="00507809">
        <w:rPr>
          <w:rFonts w:ascii="Times New Roman" w:hAnsi="Times New Roman"/>
          <w:sz w:val="24"/>
          <w:szCs w:val="24"/>
        </w:rPr>
        <w:t xml:space="preserve">jele: </w:t>
      </w:r>
      <w:proofErr w:type="spellStart"/>
      <w:r w:rsidR="00D62CCC">
        <w:rPr>
          <w:rFonts w:ascii="Times New Roman" w:hAnsi="Times New Roman"/>
          <w:sz w:val="24"/>
          <w:szCs w:val="24"/>
        </w:rPr>
        <w:t>Hk</w:t>
      </w:r>
      <w:proofErr w:type="spellEnd"/>
      <w:r>
        <w:rPr>
          <w:rFonts w:ascii="Times New Roman" w:hAnsi="Times New Roman"/>
          <w:sz w:val="24"/>
          <w:szCs w:val="24"/>
        </w:rPr>
        <w:t>”</w:t>
      </w:r>
    </w:p>
    <w:p w:rsidR="00507809" w:rsidRDefault="00507809" w:rsidP="00816DED">
      <w:pPr>
        <w:spacing w:after="0" w:line="240" w:lineRule="auto"/>
        <w:jc w:val="center"/>
        <w:rPr>
          <w:rFonts w:ascii="Times New Roman" w:hAnsi="Times New Roman" w:cs="Times New Roman"/>
          <w:b/>
          <w:sz w:val="24"/>
          <w:szCs w:val="24"/>
        </w:rPr>
      </w:pPr>
    </w:p>
    <w:p w:rsidR="0007501D" w:rsidRPr="008C3921" w:rsidRDefault="00507809"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A26C99">
        <w:rPr>
          <w:rFonts w:ascii="Times New Roman" w:hAnsi="Times New Roman" w:cs="Times New Roman"/>
          <w:b/>
          <w:sz w:val="24"/>
          <w:szCs w:val="24"/>
        </w:rPr>
        <w:t>1</w:t>
      </w:r>
      <w:r w:rsidR="0007501D" w:rsidRPr="008C3921">
        <w:rPr>
          <w:rFonts w:ascii="Times New Roman" w:hAnsi="Times New Roman" w:cs="Times New Roman"/>
          <w:b/>
          <w:sz w:val="24"/>
          <w:szCs w:val="24"/>
        </w:rPr>
        <w:t>.§</w:t>
      </w:r>
    </w:p>
    <w:p w:rsidR="0007501D" w:rsidRPr="008C3921" w:rsidRDefault="0007501D" w:rsidP="00816DED">
      <w:pPr>
        <w:spacing w:after="0" w:line="240" w:lineRule="auto"/>
        <w:rPr>
          <w:rFonts w:ascii="Times New Roman" w:hAnsi="Times New Roman" w:cs="Times New Roman"/>
          <w:sz w:val="24"/>
          <w:szCs w:val="24"/>
        </w:rPr>
      </w:pPr>
    </w:p>
    <w:p w:rsidR="00BF252B" w:rsidRPr="008C3921" w:rsidRDefault="0007501D" w:rsidP="00816DED">
      <w:pPr>
        <w:pStyle w:val="Nincstrkz"/>
        <w:ind w:left="-284" w:right="-425"/>
        <w:jc w:val="both"/>
        <w:rPr>
          <w:rFonts w:ascii="Times New Roman" w:hAnsi="Times New Roman"/>
          <w:sz w:val="24"/>
          <w:szCs w:val="24"/>
        </w:rPr>
      </w:pPr>
      <w:r w:rsidRPr="008C3921">
        <w:rPr>
          <w:rFonts w:ascii="Times New Roman" w:hAnsi="Times New Roman"/>
          <w:sz w:val="24"/>
          <w:szCs w:val="24"/>
        </w:rPr>
        <w:lastRenderedPageBreak/>
        <w:t>A Rendelet 4.§</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(4</w:t>
      </w:r>
      <w:r w:rsidR="00B609C4" w:rsidRPr="008C3921">
        <w:rPr>
          <w:rFonts w:ascii="Times New Roman" w:hAnsi="Times New Roman"/>
          <w:sz w:val="24"/>
          <w:szCs w:val="24"/>
        </w:rPr>
        <w:t>) -</w:t>
      </w:r>
      <w:r w:rsidRPr="008C3921">
        <w:rPr>
          <w:rFonts w:ascii="Times New Roman" w:hAnsi="Times New Roman"/>
          <w:sz w:val="24"/>
          <w:szCs w:val="24"/>
        </w:rPr>
        <w:t xml:space="preserve"> (6) bekezdés</w:t>
      </w:r>
      <w:r w:rsidR="00AA3EB8">
        <w:rPr>
          <w:rFonts w:ascii="Times New Roman" w:hAnsi="Times New Roman"/>
          <w:sz w:val="24"/>
          <w:szCs w:val="24"/>
        </w:rPr>
        <w:t>sel</w:t>
      </w:r>
      <w:r w:rsidRPr="008C3921">
        <w:rPr>
          <w:rFonts w:ascii="Times New Roman" w:hAnsi="Times New Roman"/>
          <w:sz w:val="24"/>
          <w:szCs w:val="24"/>
        </w:rPr>
        <w:t xml:space="preserve"> egészül ki:</w:t>
      </w:r>
    </w:p>
    <w:p w:rsidR="0007501D" w:rsidRPr="008C3921" w:rsidRDefault="00842BC8" w:rsidP="00125CC0">
      <w:pPr>
        <w:pStyle w:val="Nincstrkz"/>
        <w:ind w:left="-142" w:right="-425"/>
        <w:jc w:val="both"/>
        <w:rPr>
          <w:rFonts w:ascii="Times New Roman" w:hAnsi="Times New Roman"/>
          <w:sz w:val="24"/>
          <w:szCs w:val="24"/>
        </w:rPr>
      </w:pPr>
      <w:r>
        <w:rPr>
          <w:rFonts w:ascii="Times New Roman" w:hAnsi="Times New Roman"/>
          <w:sz w:val="24"/>
          <w:szCs w:val="24"/>
        </w:rPr>
        <w:t>„</w:t>
      </w:r>
      <w:r w:rsidR="0007501D" w:rsidRPr="008C3921">
        <w:rPr>
          <w:rFonts w:ascii="Times New Roman" w:hAnsi="Times New Roman"/>
          <w:sz w:val="24"/>
          <w:szCs w:val="24"/>
        </w:rPr>
        <w:t xml:space="preserve">(4) Az 1. mellékletben a beépítésre szánt területeken </w:t>
      </w:r>
      <w:r w:rsidR="00271EF9" w:rsidRPr="008C3921">
        <w:rPr>
          <w:rFonts w:ascii="Times New Roman" w:hAnsi="Times New Roman"/>
          <w:sz w:val="24"/>
          <w:szCs w:val="24"/>
        </w:rPr>
        <w:t xml:space="preserve">jelölt </w:t>
      </w:r>
      <w:r w:rsidR="0007501D" w:rsidRPr="008C3921">
        <w:rPr>
          <w:rFonts w:ascii="Times New Roman" w:hAnsi="Times New Roman"/>
          <w:sz w:val="24"/>
          <w:szCs w:val="24"/>
        </w:rPr>
        <w:t>tervezett szabályozási vonal,</w:t>
      </w:r>
      <w:r w:rsidR="00271EF9" w:rsidRPr="008C3921">
        <w:rPr>
          <w:rFonts w:ascii="Times New Roman" w:hAnsi="Times New Roman"/>
          <w:sz w:val="24"/>
          <w:szCs w:val="24"/>
        </w:rPr>
        <w:t xml:space="preserve"> valamint</w:t>
      </w:r>
      <w:r w:rsidR="0007501D" w:rsidRPr="008C3921">
        <w:rPr>
          <w:rFonts w:ascii="Times New Roman" w:hAnsi="Times New Roman"/>
          <w:sz w:val="24"/>
          <w:szCs w:val="24"/>
        </w:rPr>
        <w:t xml:space="preserve"> a teljes közigazgatási területen</w:t>
      </w:r>
      <w:r w:rsidR="00271EF9" w:rsidRPr="008C3921">
        <w:rPr>
          <w:rFonts w:ascii="Times New Roman" w:hAnsi="Times New Roman"/>
          <w:sz w:val="24"/>
          <w:szCs w:val="24"/>
        </w:rPr>
        <w:t xml:space="preserve"> jelölt </w:t>
      </w:r>
      <w:r w:rsidR="0007501D" w:rsidRPr="008C3921">
        <w:rPr>
          <w:rFonts w:ascii="Times New Roman" w:hAnsi="Times New Roman"/>
          <w:sz w:val="24"/>
          <w:szCs w:val="24"/>
        </w:rPr>
        <w:t>tervezett övezeti határ vonalán a telekalakítás építési és telekalakítási tevékenység esetén kötelező.</w:t>
      </w:r>
      <w:r w:rsidR="00271EF9" w:rsidRPr="008C3921">
        <w:rPr>
          <w:rFonts w:ascii="Times New Roman" w:hAnsi="Times New Roman"/>
          <w:sz w:val="24"/>
          <w:szCs w:val="24"/>
        </w:rPr>
        <w:t xml:space="preserve"> Lakó- és üdülőépületek építésénél a tervezett szabályozási vonal kialakítása nem kötelező.</w:t>
      </w:r>
    </w:p>
    <w:p w:rsidR="0007501D" w:rsidRPr="008C3921" w:rsidRDefault="0007501D" w:rsidP="00125CC0">
      <w:pPr>
        <w:pStyle w:val="Nincstrkz"/>
        <w:ind w:left="-142" w:right="-425"/>
        <w:jc w:val="both"/>
        <w:rPr>
          <w:rFonts w:ascii="Times New Roman" w:hAnsi="Times New Roman"/>
          <w:sz w:val="24"/>
          <w:szCs w:val="24"/>
        </w:rPr>
      </w:pPr>
      <w:r w:rsidRPr="008C3921">
        <w:rPr>
          <w:rFonts w:ascii="Times New Roman" w:hAnsi="Times New Roman"/>
          <w:sz w:val="24"/>
          <w:szCs w:val="24"/>
        </w:rPr>
        <w:t>(5) Az építési övezetek és az övezetek területén a kialakítható telek megengedett legkisebb szélességét az építési hely területén belül legalább 20 m-es összefüggő sávban kell biztosítani.</w:t>
      </w:r>
    </w:p>
    <w:p w:rsidR="0007501D" w:rsidRPr="008C3921" w:rsidRDefault="0007501D" w:rsidP="00125CC0">
      <w:pPr>
        <w:pStyle w:val="Nincstrkz"/>
        <w:ind w:left="-142" w:right="-425"/>
        <w:jc w:val="both"/>
        <w:rPr>
          <w:rFonts w:ascii="Times New Roman" w:hAnsi="Times New Roman"/>
          <w:sz w:val="24"/>
          <w:szCs w:val="24"/>
        </w:rPr>
      </w:pPr>
      <w:r w:rsidRPr="008C3921">
        <w:rPr>
          <w:rFonts w:ascii="Times New Roman" w:hAnsi="Times New Roman"/>
          <w:sz w:val="24"/>
          <w:szCs w:val="24"/>
        </w:rPr>
        <w:t>(6) Az 1. mellékletben telekrendezési kötelezettséggel jelölt telkeket az övezet</w:t>
      </w:r>
      <w:r w:rsidR="005A20AD" w:rsidRPr="008C3921">
        <w:rPr>
          <w:rFonts w:ascii="Times New Roman" w:hAnsi="Times New Roman"/>
          <w:sz w:val="24"/>
          <w:szCs w:val="24"/>
        </w:rPr>
        <w:t>en</w:t>
      </w:r>
      <w:r w:rsidRPr="008C3921">
        <w:rPr>
          <w:rFonts w:ascii="Times New Roman" w:hAnsi="Times New Roman"/>
          <w:sz w:val="24"/>
          <w:szCs w:val="24"/>
        </w:rPr>
        <w:t xml:space="preserve"> belül kialakult telekjellemzők</w:t>
      </w:r>
      <w:r w:rsidR="00DA1AA3">
        <w:rPr>
          <w:rFonts w:ascii="Times New Roman" w:hAnsi="Times New Roman"/>
          <w:sz w:val="24"/>
          <w:szCs w:val="24"/>
        </w:rPr>
        <w:t xml:space="preserve"> és történelmileg kialakult telekszerkezet</w:t>
      </w:r>
      <w:r w:rsidRPr="008C3921">
        <w:rPr>
          <w:rFonts w:ascii="Times New Roman" w:hAnsi="Times New Roman"/>
          <w:sz w:val="24"/>
          <w:szCs w:val="24"/>
        </w:rPr>
        <w:t xml:space="preserve"> szerint kell összevonni. Az összevonás építési munkák esetén az azonos tulajdonú telekrészeknél kötelező.</w:t>
      </w:r>
      <w:r w:rsidR="00DA1AA3">
        <w:rPr>
          <w:rFonts w:ascii="Times New Roman" w:hAnsi="Times New Roman"/>
          <w:sz w:val="24"/>
          <w:szCs w:val="24"/>
        </w:rPr>
        <w:t xml:space="preserve"> Ahol a jelölés több szomszédos, történelmileg kialakult telekszerkezetet érint, ott csak a fenti jellemzők szerinti telekösszevonás lehetséges. A történelmileg szomszédos telkek összevonása nem lehet</w:t>
      </w:r>
      <w:r w:rsidR="005535B2">
        <w:rPr>
          <w:rFonts w:ascii="Times New Roman" w:hAnsi="Times New Roman"/>
          <w:sz w:val="24"/>
          <w:szCs w:val="24"/>
        </w:rPr>
        <w:t>sé</w:t>
      </w:r>
      <w:r w:rsidR="00DA1AA3">
        <w:rPr>
          <w:rFonts w:ascii="Times New Roman" w:hAnsi="Times New Roman"/>
          <w:sz w:val="24"/>
          <w:szCs w:val="24"/>
        </w:rPr>
        <w:t>ges.</w:t>
      </w:r>
      <w:r w:rsidR="00842BC8">
        <w:rPr>
          <w:rFonts w:ascii="Times New Roman" w:hAnsi="Times New Roman"/>
          <w:sz w:val="24"/>
          <w:szCs w:val="24"/>
        </w:rPr>
        <w:t>”</w:t>
      </w:r>
    </w:p>
    <w:p w:rsidR="0007501D" w:rsidRPr="008C3921" w:rsidRDefault="0007501D" w:rsidP="00816DED">
      <w:pPr>
        <w:pStyle w:val="Nincstrkz"/>
        <w:ind w:left="-284" w:right="-425"/>
        <w:jc w:val="both"/>
        <w:rPr>
          <w:rFonts w:ascii="Times New Roman" w:hAnsi="Times New Roman"/>
          <w:sz w:val="24"/>
          <w:szCs w:val="24"/>
        </w:rPr>
      </w:pPr>
    </w:p>
    <w:p w:rsidR="00B609C4" w:rsidRPr="008C3921" w:rsidRDefault="00507809" w:rsidP="00816DE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125CC0">
        <w:rPr>
          <w:rFonts w:ascii="Times New Roman" w:hAnsi="Times New Roman" w:cs="Times New Roman"/>
          <w:b/>
          <w:sz w:val="24"/>
          <w:szCs w:val="24"/>
        </w:rPr>
        <w:t>2</w:t>
      </w:r>
      <w:r w:rsidR="00B609C4" w:rsidRPr="008C3921">
        <w:rPr>
          <w:rFonts w:ascii="Times New Roman" w:hAnsi="Times New Roman" w:cs="Times New Roman"/>
          <w:b/>
          <w:sz w:val="24"/>
          <w:szCs w:val="24"/>
        </w:rPr>
        <w:t>.§</w:t>
      </w:r>
    </w:p>
    <w:p w:rsidR="00B609C4" w:rsidRPr="008C3921" w:rsidRDefault="00B609C4" w:rsidP="00816DED">
      <w:pPr>
        <w:spacing w:after="0" w:line="240" w:lineRule="auto"/>
        <w:rPr>
          <w:rFonts w:ascii="Times New Roman" w:hAnsi="Times New Roman" w:cs="Times New Roman"/>
          <w:sz w:val="24"/>
          <w:szCs w:val="24"/>
        </w:rPr>
      </w:pPr>
    </w:p>
    <w:p w:rsidR="00B609C4" w:rsidRPr="008C3921" w:rsidRDefault="00B609C4" w:rsidP="00816DED">
      <w:pPr>
        <w:pStyle w:val="Nincstrkz"/>
        <w:ind w:left="-284" w:right="-425"/>
        <w:jc w:val="both"/>
        <w:rPr>
          <w:rFonts w:ascii="Times New Roman" w:hAnsi="Times New Roman"/>
          <w:sz w:val="24"/>
          <w:szCs w:val="24"/>
        </w:rPr>
      </w:pPr>
      <w:r w:rsidRPr="008C3921">
        <w:rPr>
          <w:rFonts w:ascii="Times New Roman" w:hAnsi="Times New Roman"/>
          <w:sz w:val="24"/>
          <w:szCs w:val="24"/>
        </w:rPr>
        <w:t>A Rendelet 7.§</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sidR="009D5033" w:rsidRPr="00DE7B9B">
        <w:rPr>
          <w:rFonts w:ascii="Times New Roman" w:hAnsi="Times New Roman"/>
          <w:sz w:val="24"/>
          <w:szCs w:val="24"/>
        </w:rPr>
        <w:t>(9) - (21</w:t>
      </w:r>
      <w:r w:rsidRPr="00DE7B9B">
        <w:rPr>
          <w:rFonts w:ascii="Times New Roman" w:hAnsi="Times New Roman"/>
          <w:sz w:val="24"/>
          <w:szCs w:val="24"/>
        </w:rPr>
        <w:t>)</w:t>
      </w:r>
      <w:r w:rsidRPr="008C3921">
        <w:rPr>
          <w:rFonts w:ascii="Times New Roman" w:hAnsi="Times New Roman"/>
          <w:sz w:val="24"/>
          <w:szCs w:val="24"/>
        </w:rPr>
        <w:t xml:space="preserve"> bekezdés</w:t>
      </w:r>
      <w:r w:rsidR="00AA3EB8">
        <w:rPr>
          <w:rFonts w:ascii="Times New Roman" w:hAnsi="Times New Roman"/>
          <w:sz w:val="24"/>
          <w:szCs w:val="24"/>
        </w:rPr>
        <w:t>sel</w:t>
      </w:r>
      <w:r w:rsidRPr="008C3921">
        <w:rPr>
          <w:rFonts w:ascii="Times New Roman" w:hAnsi="Times New Roman"/>
          <w:sz w:val="24"/>
          <w:szCs w:val="24"/>
        </w:rPr>
        <w:t xml:space="preserve"> egészül ki:</w:t>
      </w:r>
    </w:p>
    <w:p w:rsidR="00B609C4" w:rsidRPr="008C3921" w:rsidRDefault="00842BC8" w:rsidP="00125CC0">
      <w:pPr>
        <w:pStyle w:val="jnorml"/>
        <w:spacing w:line="240" w:lineRule="auto"/>
        <w:ind w:left="-142"/>
        <w:rPr>
          <w:shd w:val="clear" w:color="auto" w:fill="FFFFFF"/>
        </w:rPr>
      </w:pPr>
      <w:r>
        <w:t>„</w:t>
      </w:r>
      <w:r w:rsidR="00B609C4" w:rsidRPr="008C3921">
        <w:t xml:space="preserve">(9) </w:t>
      </w:r>
      <w:r w:rsidR="00B609C4" w:rsidRPr="008C3921">
        <w:rPr>
          <w:shd w:val="clear" w:color="auto" w:fill="FFFFFF"/>
        </w:rPr>
        <w:t>Ahol a telek beépítettsége a korábbi előírásoknak megfelelő építési vagy fennmaradási engedély alapján jött létre, vagy az érintett épület 10 éven túl épült és az a hatályos övezeti előírások szerinti értéket meghaladja, ott a meglevő épületek felújíthatók, illetve átalakíthatók és bővíthetők az övezeti előírások megtartásával.</w:t>
      </w:r>
    </w:p>
    <w:p w:rsidR="00CF4D77" w:rsidRDefault="00CF4D77" w:rsidP="00125CC0">
      <w:pPr>
        <w:pStyle w:val="jnorml"/>
        <w:spacing w:line="240" w:lineRule="auto"/>
        <w:ind w:left="-142"/>
        <w:rPr>
          <w:shd w:val="clear" w:color="auto" w:fill="FFFFFF"/>
        </w:rPr>
      </w:pPr>
      <w:r w:rsidRPr="008C3921">
        <w:rPr>
          <w:shd w:val="clear" w:color="auto" w:fill="FFFFFF"/>
        </w:rPr>
        <w:t>(</w:t>
      </w:r>
      <w:r w:rsidR="0010102B" w:rsidRPr="008C3921">
        <w:rPr>
          <w:shd w:val="clear" w:color="auto" w:fill="FFFFFF"/>
        </w:rPr>
        <w:t>10</w:t>
      </w:r>
      <w:r w:rsidRPr="008C3921">
        <w:rPr>
          <w:shd w:val="clear" w:color="auto" w:fill="FFFFFF"/>
        </w:rPr>
        <w:t>) Ahol a meglévő épület részben vagy egészben a telekre meghatározott építési helyen kívül áll, ott a meglévő épület felújítható, korszerűsíthető. Ezen épületek bővítése csak az övezetre előírt építési helyen belül lehetséges.</w:t>
      </w:r>
    </w:p>
    <w:p w:rsidR="00D82ADE" w:rsidRPr="008C3921" w:rsidRDefault="00D82ADE" w:rsidP="00125CC0">
      <w:pPr>
        <w:pStyle w:val="jnorml"/>
        <w:spacing w:line="240" w:lineRule="auto"/>
        <w:ind w:left="-142"/>
        <w:rPr>
          <w:shd w:val="clear" w:color="auto" w:fill="FFFFFF"/>
        </w:rPr>
      </w:pPr>
      <w:r>
        <w:rPr>
          <w:shd w:val="clear" w:color="auto" w:fill="FFFFFF"/>
        </w:rPr>
        <w:t>(11) Az övezetben telepíthető fő rendeltetési egység építése nélkül melléképület nem építhető.</w:t>
      </w:r>
    </w:p>
    <w:p w:rsidR="00B609C4" w:rsidRPr="008C3921" w:rsidRDefault="00B609C4" w:rsidP="00125CC0">
      <w:pPr>
        <w:pStyle w:val="jnorml"/>
        <w:spacing w:line="240" w:lineRule="auto"/>
        <w:ind w:left="-142"/>
        <w:rPr>
          <w:shd w:val="clear" w:color="auto" w:fill="FFFFFF"/>
        </w:rPr>
      </w:pPr>
      <w:r w:rsidRPr="008C3921">
        <w:rPr>
          <w:shd w:val="clear" w:color="auto" w:fill="FFFFFF"/>
        </w:rPr>
        <w:t>(</w:t>
      </w:r>
      <w:r w:rsidR="00D82ADE">
        <w:rPr>
          <w:shd w:val="clear" w:color="auto" w:fill="FFFFFF"/>
        </w:rPr>
        <w:t>12</w:t>
      </w:r>
      <w:r w:rsidRPr="008C3921">
        <w:rPr>
          <w:shd w:val="clear" w:color="auto" w:fill="FFFFFF"/>
        </w:rPr>
        <w:t>) Zártsorú beépítés esetén a tömbön belül kialakult, meglévő zártsorú beépítés közterület felé eső vonalához kell igazodni. A tényleges zártsorú beépítés mélysége legfeljebb 16 m lehet. Ha a szomszédos ingatlanok beépítése és a telek szélessége udvari épületrész építésére lehetőséget ad, akkor az épületrészek együttes mélysége legfeljebb 30 m lehet. Az udvari épületrészt a zártsorú épületrésszel egy tömegben kell kialakítani.</w:t>
      </w:r>
      <w:r w:rsidR="00B96498" w:rsidRPr="008C3921">
        <w:rPr>
          <w:shd w:val="clear" w:color="auto" w:fill="FFFFFF"/>
        </w:rPr>
        <w:t xml:space="preserve"> Az </w:t>
      </w:r>
      <w:r w:rsidRPr="008C3921">
        <w:rPr>
          <w:shd w:val="clear" w:color="auto" w:fill="FFFFFF"/>
        </w:rPr>
        <w:t>udvari épületrész legkisebb távolsága a szomszédos telekhatártól</w:t>
      </w:r>
      <w:r w:rsidR="00B96498" w:rsidRPr="008C3921">
        <w:rPr>
          <w:shd w:val="clear" w:color="auto" w:fill="FFFFFF"/>
        </w:rPr>
        <w:t xml:space="preserve"> az </w:t>
      </w:r>
      <w:r w:rsidR="007D3289" w:rsidRPr="008C3921">
        <w:rPr>
          <w:shd w:val="clear" w:color="auto" w:fill="FFFFFF"/>
        </w:rPr>
        <w:t xml:space="preserve">övezetre </w:t>
      </w:r>
      <w:r w:rsidR="00B96498" w:rsidRPr="008C3921">
        <w:rPr>
          <w:shd w:val="clear" w:color="auto" w:fill="FFFFFF"/>
        </w:rPr>
        <w:t>el</w:t>
      </w:r>
      <w:r w:rsidR="007D3289" w:rsidRPr="008C3921">
        <w:rPr>
          <w:shd w:val="clear" w:color="auto" w:fill="FFFFFF"/>
        </w:rPr>
        <w:t>őírt épületmagasság fele legyen, épületmagassága pedig legfeljebb 6,0 m.</w:t>
      </w:r>
    </w:p>
    <w:p w:rsidR="007D3289" w:rsidRPr="008C3921" w:rsidRDefault="007D3289" w:rsidP="00125CC0">
      <w:pPr>
        <w:pStyle w:val="jnorml"/>
        <w:spacing w:line="240" w:lineRule="auto"/>
        <w:ind w:left="-142"/>
        <w:rPr>
          <w:shd w:val="clear" w:color="auto" w:fill="FFFFFF"/>
        </w:rPr>
      </w:pPr>
      <w:r w:rsidRPr="008C3921">
        <w:rPr>
          <w:shd w:val="clear" w:color="auto" w:fill="FFFFFF"/>
        </w:rPr>
        <w:t>(</w:t>
      </w:r>
      <w:r w:rsidR="00D82ADE">
        <w:rPr>
          <w:shd w:val="clear" w:color="auto" w:fill="FFFFFF"/>
        </w:rPr>
        <w:t>13</w:t>
      </w:r>
      <w:r w:rsidRPr="008C3921">
        <w:rPr>
          <w:shd w:val="clear" w:color="auto" w:fill="FFFFFF"/>
        </w:rPr>
        <w:t>) Zártsorú beépítésnél a meglévő udvari épületrészek függőlegesen nem bővíthetők.</w:t>
      </w:r>
    </w:p>
    <w:p w:rsidR="00DE7B9B" w:rsidRDefault="00DE7B9B" w:rsidP="00DE7B9B">
      <w:pPr>
        <w:pStyle w:val="jnorml"/>
        <w:spacing w:line="240" w:lineRule="auto"/>
        <w:ind w:left="-142"/>
        <w:rPr>
          <w:shd w:val="clear" w:color="auto" w:fill="FFFFFF"/>
        </w:rPr>
      </w:pPr>
      <w:r w:rsidRPr="008C3921">
        <w:rPr>
          <w:shd w:val="clear" w:color="auto" w:fill="FFFFFF"/>
        </w:rPr>
        <w:t>(</w:t>
      </w:r>
      <w:r>
        <w:rPr>
          <w:shd w:val="clear" w:color="auto" w:fill="FFFFFF"/>
        </w:rPr>
        <w:t>14</w:t>
      </w:r>
      <w:r w:rsidRPr="008C3921">
        <w:rPr>
          <w:shd w:val="clear" w:color="auto" w:fill="FFFFFF"/>
        </w:rPr>
        <w:t>) Ahol az előkert legkisebb mérete</w:t>
      </w:r>
      <w:r>
        <w:rPr>
          <w:shd w:val="clear" w:color="auto" w:fill="FFFFFF"/>
        </w:rPr>
        <w:t>:</w:t>
      </w:r>
    </w:p>
    <w:p w:rsidR="00DE7B9B" w:rsidRDefault="00DE7B9B" w:rsidP="00DE7B9B">
      <w:pPr>
        <w:pStyle w:val="jnorml"/>
        <w:spacing w:line="240" w:lineRule="auto"/>
        <w:ind w:firstLine="1"/>
        <w:rPr>
          <w:shd w:val="clear" w:color="auto" w:fill="FFFFFF"/>
        </w:rPr>
      </w:pPr>
      <w:proofErr w:type="gramStart"/>
      <w:r>
        <w:rPr>
          <w:shd w:val="clear" w:color="auto" w:fill="FFFFFF"/>
        </w:rPr>
        <w:t>a</w:t>
      </w:r>
      <w:proofErr w:type="gramEnd"/>
      <w:r>
        <w:rPr>
          <w:shd w:val="clear" w:color="auto" w:fill="FFFFFF"/>
        </w:rPr>
        <w:t>) 0-5</w:t>
      </w:r>
      <w:r w:rsidRPr="008C3921">
        <w:rPr>
          <w:shd w:val="clear" w:color="auto" w:fill="FFFFFF"/>
        </w:rPr>
        <w:t xml:space="preserve"> m, ott a fő rendeltetést tartalmazó épület közterület felé eső homlokzati felületének legalább 1/3 részét a közterületi telekhatártól </w:t>
      </w:r>
      <w:r>
        <w:rPr>
          <w:shd w:val="clear" w:color="auto" w:fill="FFFFFF"/>
        </w:rPr>
        <w:t>0</w:t>
      </w:r>
      <w:r w:rsidRPr="008C3921">
        <w:rPr>
          <w:shd w:val="clear" w:color="auto" w:fill="FFFFFF"/>
        </w:rPr>
        <w:t>-</w:t>
      </w:r>
      <w:r>
        <w:rPr>
          <w:shd w:val="clear" w:color="auto" w:fill="FFFFFF"/>
        </w:rPr>
        <w:t>5</w:t>
      </w:r>
      <w:r w:rsidRPr="008C3921">
        <w:rPr>
          <w:shd w:val="clear" w:color="auto" w:fill="FFFFFF"/>
        </w:rPr>
        <w:t xml:space="preserve"> m sávban kell elhelyezni.</w:t>
      </w:r>
    </w:p>
    <w:p w:rsidR="00DE7B9B" w:rsidRDefault="00DE7B9B" w:rsidP="00DE7B9B">
      <w:pPr>
        <w:pStyle w:val="jnorml"/>
        <w:spacing w:line="240" w:lineRule="auto"/>
        <w:rPr>
          <w:shd w:val="clear" w:color="auto" w:fill="FFFFFF"/>
        </w:rPr>
      </w:pPr>
      <w:r>
        <w:rPr>
          <w:shd w:val="clear" w:color="auto" w:fill="FFFFFF"/>
        </w:rPr>
        <w:t>b) 0-10</w:t>
      </w:r>
      <w:r w:rsidRPr="008C3921">
        <w:rPr>
          <w:shd w:val="clear" w:color="auto" w:fill="FFFFFF"/>
        </w:rPr>
        <w:t xml:space="preserve"> m, ott a fő rendeltetést tartalmazó épület közterület felé eső homlokzati felületének legalább 1/3 részét a közterületi telekhatártól </w:t>
      </w:r>
      <w:r>
        <w:rPr>
          <w:shd w:val="clear" w:color="auto" w:fill="FFFFFF"/>
        </w:rPr>
        <w:t>0</w:t>
      </w:r>
      <w:r w:rsidRPr="008C3921">
        <w:rPr>
          <w:shd w:val="clear" w:color="auto" w:fill="FFFFFF"/>
        </w:rPr>
        <w:t>-</w:t>
      </w:r>
      <w:r>
        <w:rPr>
          <w:shd w:val="clear" w:color="auto" w:fill="FFFFFF"/>
        </w:rPr>
        <w:t>10</w:t>
      </w:r>
      <w:r w:rsidRPr="008C3921">
        <w:rPr>
          <w:shd w:val="clear" w:color="auto" w:fill="FFFFFF"/>
        </w:rPr>
        <w:t xml:space="preserve"> m sávban kell elhelyezni.</w:t>
      </w:r>
    </w:p>
    <w:p w:rsidR="00DE7B9B" w:rsidRDefault="00DE7B9B" w:rsidP="00DE7B9B">
      <w:pPr>
        <w:pStyle w:val="jnorml"/>
        <w:spacing w:line="240" w:lineRule="auto"/>
        <w:rPr>
          <w:shd w:val="clear" w:color="auto" w:fill="FFFFFF"/>
        </w:rPr>
      </w:pPr>
      <w:r>
        <w:rPr>
          <w:shd w:val="clear" w:color="auto" w:fill="FFFFFF"/>
        </w:rPr>
        <w:t>c) 0-20</w:t>
      </w:r>
      <w:r w:rsidRPr="008C3921">
        <w:rPr>
          <w:shd w:val="clear" w:color="auto" w:fill="FFFFFF"/>
        </w:rPr>
        <w:t xml:space="preserve"> m, ott a fő rendeltetést tartalmazó épület közterület felé eső homlokzati felületének legalább 1/3 részét a közterületi telekhatártól </w:t>
      </w:r>
      <w:r>
        <w:rPr>
          <w:shd w:val="clear" w:color="auto" w:fill="FFFFFF"/>
        </w:rPr>
        <w:t>0</w:t>
      </w:r>
      <w:r w:rsidRPr="008C3921">
        <w:rPr>
          <w:shd w:val="clear" w:color="auto" w:fill="FFFFFF"/>
        </w:rPr>
        <w:t>-</w:t>
      </w:r>
      <w:r>
        <w:rPr>
          <w:shd w:val="clear" w:color="auto" w:fill="FFFFFF"/>
        </w:rPr>
        <w:t>20</w:t>
      </w:r>
      <w:r w:rsidRPr="008C3921">
        <w:rPr>
          <w:shd w:val="clear" w:color="auto" w:fill="FFFFFF"/>
        </w:rPr>
        <w:t xml:space="preserve"> m sávban kell elhelyezni.</w:t>
      </w:r>
    </w:p>
    <w:p w:rsidR="00DE7B9B" w:rsidRDefault="00DE7B9B" w:rsidP="00DE7B9B">
      <w:pPr>
        <w:pStyle w:val="jnorml"/>
        <w:spacing w:line="240" w:lineRule="auto"/>
        <w:rPr>
          <w:shd w:val="clear" w:color="auto" w:fill="FFFFFF"/>
        </w:rPr>
      </w:pPr>
      <w:r>
        <w:rPr>
          <w:shd w:val="clear" w:color="auto" w:fill="FFFFFF"/>
        </w:rPr>
        <w:t>d) 5-10</w:t>
      </w:r>
      <w:r w:rsidRPr="008C3921">
        <w:rPr>
          <w:shd w:val="clear" w:color="auto" w:fill="FFFFFF"/>
        </w:rPr>
        <w:t xml:space="preserve"> m, ott a fő rendeltetést tartalmazó épület közterület felé eső homlokzati felületének legalább 1/3 részét a közterületi telekhatártól </w:t>
      </w:r>
      <w:r>
        <w:rPr>
          <w:shd w:val="clear" w:color="auto" w:fill="FFFFFF"/>
        </w:rPr>
        <w:t>5</w:t>
      </w:r>
      <w:r w:rsidRPr="008C3921">
        <w:rPr>
          <w:shd w:val="clear" w:color="auto" w:fill="FFFFFF"/>
        </w:rPr>
        <w:t>-</w:t>
      </w:r>
      <w:r>
        <w:rPr>
          <w:shd w:val="clear" w:color="auto" w:fill="FFFFFF"/>
        </w:rPr>
        <w:t>10</w:t>
      </w:r>
      <w:r w:rsidRPr="008C3921">
        <w:rPr>
          <w:shd w:val="clear" w:color="auto" w:fill="FFFFFF"/>
        </w:rPr>
        <w:t xml:space="preserve"> m sávban kell elhelyezni.</w:t>
      </w:r>
    </w:p>
    <w:p w:rsidR="00DE7B9B" w:rsidRDefault="00DE7B9B" w:rsidP="00DE7B9B">
      <w:pPr>
        <w:pStyle w:val="jnorml"/>
        <w:spacing w:line="240" w:lineRule="auto"/>
        <w:rPr>
          <w:shd w:val="clear" w:color="auto" w:fill="FFFFFF"/>
        </w:rPr>
      </w:pPr>
      <w:proofErr w:type="gramStart"/>
      <w:r>
        <w:rPr>
          <w:shd w:val="clear" w:color="auto" w:fill="FFFFFF"/>
        </w:rPr>
        <w:t>e</w:t>
      </w:r>
      <w:proofErr w:type="gramEnd"/>
      <w:r>
        <w:rPr>
          <w:shd w:val="clear" w:color="auto" w:fill="FFFFFF"/>
        </w:rPr>
        <w:t>) 5-20</w:t>
      </w:r>
      <w:r w:rsidRPr="008C3921">
        <w:rPr>
          <w:shd w:val="clear" w:color="auto" w:fill="FFFFFF"/>
        </w:rPr>
        <w:t xml:space="preserve"> m, ott a fő rendeltetést tartalmazó épület közterület felé eső homlokzati felületének legalább 1/3 részét a közterületi telekhatártól </w:t>
      </w:r>
      <w:r>
        <w:rPr>
          <w:shd w:val="clear" w:color="auto" w:fill="FFFFFF"/>
        </w:rPr>
        <w:t>5</w:t>
      </w:r>
      <w:r w:rsidRPr="008C3921">
        <w:rPr>
          <w:shd w:val="clear" w:color="auto" w:fill="FFFFFF"/>
        </w:rPr>
        <w:t>-</w:t>
      </w:r>
      <w:r>
        <w:rPr>
          <w:shd w:val="clear" w:color="auto" w:fill="FFFFFF"/>
        </w:rPr>
        <w:t>20</w:t>
      </w:r>
      <w:r w:rsidRPr="008C3921">
        <w:rPr>
          <w:shd w:val="clear" w:color="auto" w:fill="FFFFFF"/>
        </w:rPr>
        <w:t xml:space="preserve"> m sávban kell elhelyezni.</w:t>
      </w:r>
    </w:p>
    <w:p w:rsidR="00430079" w:rsidRDefault="00B609C4">
      <w:pPr>
        <w:pStyle w:val="jnorml"/>
        <w:spacing w:line="240" w:lineRule="auto"/>
        <w:ind w:left="-142"/>
        <w:rPr>
          <w:shd w:val="clear" w:color="auto" w:fill="FFFFFF"/>
        </w:rPr>
      </w:pPr>
      <w:r w:rsidRPr="008C3921">
        <w:rPr>
          <w:shd w:val="clear" w:color="auto" w:fill="FFFFFF"/>
        </w:rPr>
        <w:t>(</w:t>
      </w:r>
      <w:r w:rsidR="00D82ADE">
        <w:rPr>
          <w:shd w:val="clear" w:color="auto" w:fill="FFFFFF"/>
        </w:rPr>
        <w:t>15</w:t>
      </w:r>
      <w:r w:rsidRPr="008C3921">
        <w:rPr>
          <w:shd w:val="clear" w:color="auto" w:fill="FFFFFF"/>
        </w:rPr>
        <w:t xml:space="preserve">) </w:t>
      </w:r>
      <w:r w:rsidR="00CF4D77" w:rsidRPr="008C3921">
        <w:rPr>
          <w:shd w:val="clear" w:color="auto" w:fill="FFFFFF"/>
        </w:rPr>
        <w:t>Amennyiben az övezeti előírások szerint az illeszkedés szabályait kell figyelembe venni, akkor az illeszkedés meghatározásához a tömbön belül az azonos övezetbe tartozó építési telkek beépítési sajátosságait kell figyelembe venni az alábbi előírások figyelembevételével.</w:t>
      </w:r>
      <w:r w:rsidR="00125CC0">
        <w:rPr>
          <w:shd w:val="clear" w:color="auto" w:fill="FFFFFF"/>
        </w:rPr>
        <w:t xml:space="preserve"> </w:t>
      </w:r>
      <w:r w:rsidRPr="008C3921">
        <w:rPr>
          <w:shd w:val="clear" w:color="auto" w:fill="FFFFFF"/>
        </w:rPr>
        <w:t>Beépítési táblázat szerinti kialakult állapot (K) esetén:</w:t>
      </w:r>
    </w:p>
    <w:p w:rsidR="00B609C4" w:rsidRPr="008C3921" w:rsidRDefault="00B609C4" w:rsidP="00816DED">
      <w:pPr>
        <w:pStyle w:val="jnorml"/>
        <w:spacing w:line="240" w:lineRule="auto"/>
        <w:rPr>
          <w:shd w:val="clear" w:color="auto" w:fill="FFFFFF"/>
        </w:rPr>
      </w:pPr>
      <w:proofErr w:type="gramStart"/>
      <w:r w:rsidRPr="008C3921">
        <w:rPr>
          <w:shd w:val="clear" w:color="auto" w:fill="FFFFFF"/>
        </w:rPr>
        <w:t>a</w:t>
      </w:r>
      <w:proofErr w:type="gramEnd"/>
      <w:r w:rsidRPr="008C3921">
        <w:rPr>
          <w:shd w:val="clear" w:color="auto" w:fill="FFFFFF"/>
        </w:rPr>
        <w:t xml:space="preserve">) beépítési mód: Új építés esetén a tömbön belül azonos övezetbe tartozó építési telkek beépítését kell figyelembe venni. Amennyiben a meglévő épület beépítési módja nem azonos, </w:t>
      </w:r>
      <w:r w:rsidRPr="008C3921">
        <w:rPr>
          <w:shd w:val="clear" w:color="auto" w:fill="FFFFFF"/>
        </w:rPr>
        <w:lastRenderedPageBreak/>
        <w:t>a meglévő épület felújítható, korszerűsíthető, de csak a fentiek szerint megállapított beépítési móddal bővíthető.</w:t>
      </w:r>
    </w:p>
    <w:p w:rsidR="00B609C4" w:rsidRPr="008C3921" w:rsidRDefault="00B609C4" w:rsidP="00816DED">
      <w:pPr>
        <w:pStyle w:val="jnorml"/>
        <w:spacing w:line="240" w:lineRule="auto"/>
        <w:rPr>
          <w:shd w:val="clear" w:color="auto" w:fill="FFFFFF"/>
        </w:rPr>
      </w:pPr>
      <w:r w:rsidRPr="008C3921">
        <w:rPr>
          <w:shd w:val="clear" w:color="auto" w:fill="FFFFFF"/>
        </w:rPr>
        <w:t>b) megengedett legnagyobb épületmagasság: A telken belüli kialakult épületmagasság meglévő épületek esetén megtartható. Új építés, vagy épületbővítés esetén a táblázatban szereplő zárójeles értéket kell figyelembe venni.</w:t>
      </w:r>
    </w:p>
    <w:p w:rsidR="00B609C4" w:rsidRPr="008C3921" w:rsidRDefault="00B609C4" w:rsidP="00816DED">
      <w:pPr>
        <w:pStyle w:val="jnorml"/>
        <w:spacing w:line="240" w:lineRule="auto"/>
        <w:rPr>
          <w:shd w:val="clear" w:color="auto" w:fill="FFFFFF"/>
        </w:rPr>
      </w:pPr>
      <w:r w:rsidRPr="008C3921">
        <w:rPr>
          <w:shd w:val="clear" w:color="auto" w:fill="FFFFFF"/>
        </w:rPr>
        <w:t>c) megengedett legnagyobb beépítettség: A telken belüli kialakult legnagyobb beépítettség meglévő épületek esetén megtartható. Új építés, vagy épületbővítés esetén a táblázatban szereplő zárójeles értéket kell figyelembe venni.</w:t>
      </w:r>
    </w:p>
    <w:p w:rsidR="00B609C4" w:rsidRPr="008C3921" w:rsidRDefault="00B609C4" w:rsidP="00816DED">
      <w:pPr>
        <w:pStyle w:val="jnorml"/>
        <w:spacing w:line="240" w:lineRule="auto"/>
        <w:rPr>
          <w:shd w:val="clear" w:color="auto" w:fill="FFFFFF"/>
        </w:rPr>
      </w:pPr>
      <w:r w:rsidRPr="008C3921">
        <w:rPr>
          <w:shd w:val="clear" w:color="auto" w:fill="FFFFFF"/>
        </w:rPr>
        <w:t>d) megengedett legkisebb zöldfelület: A telken belüli kialakult legkisebb zöldfelület meglévő épületek esetén megtartható. Új építés, vagy épületbővítés esetén a táblázatban szereplő zárójeles értéket kell figyelembe venni.</w:t>
      </w:r>
    </w:p>
    <w:p w:rsidR="00B609C4" w:rsidRPr="008C3921" w:rsidRDefault="00B609C4" w:rsidP="00816DED">
      <w:pPr>
        <w:pStyle w:val="jnorml"/>
        <w:spacing w:line="240" w:lineRule="auto"/>
        <w:rPr>
          <w:shd w:val="clear" w:color="auto" w:fill="FFFFFF"/>
        </w:rPr>
      </w:pPr>
      <w:proofErr w:type="gramStart"/>
      <w:r w:rsidRPr="008C3921">
        <w:rPr>
          <w:shd w:val="clear" w:color="auto" w:fill="FFFFFF"/>
        </w:rPr>
        <w:t>e</w:t>
      </w:r>
      <w:proofErr w:type="gramEnd"/>
      <w:r w:rsidRPr="008C3921">
        <w:rPr>
          <w:shd w:val="clear" w:color="auto" w:fill="FFFFFF"/>
        </w:rPr>
        <w:t>) előkert legkisebb mérete: A telken belüli kialakult előkert meglévő épületek esetén megtartható. Új építés, vagy épületbővítés esetén a táblázatban szereplő zárójeles értéket kell figyelembe venni.</w:t>
      </w:r>
    </w:p>
    <w:p w:rsidR="00B609C4" w:rsidRPr="008C3921" w:rsidRDefault="00B32AF3" w:rsidP="00272C31">
      <w:pPr>
        <w:pStyle w:val="jnorml"/>
        <w:spacing w:line="240" w:lineRule="auto"/>
        <w:ind w:left="-142"/>
        <w:rPr>
          <w:shd w:val="clear" w:color="auto" w:fill="FFFFFF"/>
        </w:rPr>
      </w:pPr>
      <w:r w:rsidRPr="008C3921" w:rsidDel="00B32AF3">
        <w:rPr>
          <w:shd w:val="clear" w:color="auto" w:fill="FFFFFF"/>
        </w:rPr>
        <w:t xml:space="preserve"> </w:t>
      </w:r>
      <w:r w:rsidR="00B609C4" w:rsidRPr="008C3921">
        <w:rPr>
          <w:shd w:val="clear" w:color="auto" w:fill="FFFFFF"/>
        </w:rPr>
        <w:t>(</w:t>
      </w:r>
      <w:r>
        <w:rPr>
          <w:shd w:val="clear" w:color="auto" w:fill="FFFFFF"/>
        </w:rPr>
        <w:t>16</w:t>
      </w:r>
      <w:r w:rsidR="00B609C4" w:rsidRPr="008C3921">
        <w:rPr>
          <w:shd w:val="clear" w:color="auto" w:fill="FFFFFF"/>
        </w:rPr>
        <w:t xml:space="preserve">) Az építési telken belül az elsődleges funkciójú épületet kell a </w:t>
      </w:r>
      <w:r w:rsidR="0010102B" w:rsidRPr="008C3921">
        <w:rPr>
          <w:shd w:val="clear" w:color="auto" w:fill="FFFFFF"/>
        </w:rPr>
        <w:t xml:space="preserve">telek megközelítését biztosító </w:t>
      </w:r>
      <w:r w:rsidR="00B609C4" w:rsidRPr="008C3921">
        <w:rPr>
          <w:shd w:val="clear" w:color="auto" w:fill="FFFFFF"/>
        </w:rPr>
        <w:t xml:space="preserve">közterület felé közelebb elhelyezni, </w:t>
      </w:r>
      <w:proofErr w:type="gramStart"/>
      <w:r w:rsidR="00B609C4" w:rsidRPr="008C3921">
        <w:rPr>
          <w:shd w:val="clear" w:color="auto" w:fill="FFFFFF"/>
        </w:rPr>
        <w:t>kivéve</w:t>
      </w:r>
      <w:proofErr w:type="gramEnd"/>
      <w:r w:rsidR="00B609C4" w:rsidRPr="008C3921">
        <w:rPr>
          <w:shd w:val="clear" w:color="auto" w:fill="FFFFFF"/>
        </w:rPr>
        <w:t xml:space="preserve"> ha a beépítési táblázat előkerti előírása másként nem rendelkez</w:t>
      </w:r>
      <w:r w:rsidR="0095201E" w:rsidRPr="008C3921">
        <w:rPr>
          <w:shd w:val="clear" w:color="auto" w:fill="FFFFFF"/>
        </w:rPr>
        <w:t>i</w:t>
      </w:r>
      <w:r w:rsidR="00B609C4" w:rsidRPr="008C3921">
        <w:rPr>
          <w:shd w:val="clear" w:color="auto" w:fill="FFFFFF"/>
        </w:rPr>
        <w:t>k, vagy ha a két rendeltetést egy épületben helyezik el.</w:t>
      </w:r>
    </w:p>
    <w:p w:rsidR="00B609C4" w:rsidRPr="008C3921" w:rsidRDefault="00B609C4" w:rsidP="00272C31">
      <w:pPr>
        <w:pStyle w:val="jnorml"/>
        <w:spacing w:line="240" w:lineRule="auto"/>
        <w:ind w:left="-142"/>
        <w:rPr>
          <w:shd w:val="clear" w:color="auto" w:fill="FFFFFF"/>
        </w:rPr>
      </w:pPr>
      <w:r w:rsidRPr="008C3921">
        <w:rPr>
          <w:shd w:val="clear" w:color="auto" w:fill="FFFFFF"/>
        </w:rPr>
        <w:t>(</w:t>
      </w:r>
      <w:r w:rsidR="00B32AF3">
        <w:rPr>
          <w:shd w:val="clear" w:color="auto" w:fill="FFFFFF"/>
        </w:rPr>
        <w:t>17</w:t>
      </w:r>
      <w:r w:rsidRPr="008C3921">
        <w:rPr>
          <w:shd w:val="clear" w:color="auto" w:fill="FFFFFF"/>
        </w:rPr>
        <w:t xml:space="preserve">) Egységes épülettömegként értelmezhető az az </w:t>
      </w:r>
      <w:proofErr w:type="gramStart"/>
      <w:r w:rsidRPr="008C3921">
        <w:rPr>
          <w:shd w:val="clear" w:color="auto" w:fill="FFFFFF"/>
        </w:rPr>
        <w:t>épület</w:t>
      </w:r>
      <w:proofErr w:type="gramEnd"/>
      <w:r w:rsidRPr="008C3921">
        <w:rPr>
          <w:shd w:val="clear" w:color="auto" w:fill="FFFFFF"/>
        </w:rPr>
        <w:t xml:space="preserve"> amely tömegformálásában és tetőalakításában egyaránt egységet képez, és a külön </w:t>
      </w:r>
      <w:r w:rsidR="0010102B" w:rsidRPr="008C3921">
        <w:rPr>
          <w:shd w:val="clear" w:color="auto" w:fill="FFFFFF"/>
        </w:rPr>
        <w:t>rendeltetési egységek</w:t>
      </w:r>
      <w:r w:rsidRPr="008C3921">
        <w:rPr>
          <w:shd w:val="clear" w:color="auto" w:fill="FFFFFF"/>
        </w:rPr>
        <w:t xml:space="preserve"> fala legalább 2/3 arányban csatlakozik egymáshoz.</w:t>
      </w:r>
    </w:p>
    <w:p w:rsidR="00B609C4" w:rsidRPr="008C3921" w:rsidRDefault="003A27E2" w:rsidP="00272C31">
      <w:pPr>
        <w:pStyle w:val="jnorml"/>
        <w:spacing w:line="240" w:lineRule="auto"/>
        <w:ind w:left="-142"/>
        <w:rPr>
          <w:shd w:val="clear" w:color="auto" w:fill="FFFFFF"/>
        </w:rPr>
      </w:pPr>
      <w:r w:rsidRPr="008C3921" w:rsidDel="003A27E2">
        <w:rPr>
          <w:shd w:val="clear" w:color="auto" w:fill="FFFFFF"/>
        </w:rPr>
        <w:t xml:space="preserve"> </w:t>
      </w:r>
      <w:r w:rsidR="00B609C4" w:rsidRPr="008C3921">
        <w:rPr>
          <w:shd w:val="clear" w:color="auto" w:fill="FFFFFF"/>
        </w:rPr>
        <w:t>(</w:t>
      </w:r>
      <w:r w:rsidR="00B32AF3">
        <w:rPr>
          <w:shd w:val="clear" w:color="auto" w:fill="FFFFFF"/>
        </w:rPr>
        <w:t>1</w:t>
      </w:r>
      <w:r>
        <w:rPr>
          <w:shd w:val="clear" w:color="auto" w:fill="FFFFFF"/>
        </w:rPr>
        <w:t>8</w:t>
      </w:r>
      <w:r w:rsidR="00B609C4" w:rsidRPr="008C3921">
        <w:rPr>
          <w:shd w:val="clear" w:color="auto" w:fill="FFFFFF"/>
        </w:rPr>
        <w:t xml:space="preserve">) Építési telken belül - ahol több épület is építhető - a huzamos tartózkodású </w:t>
      </w:r>
      <w:proofErr w:type="gramStart"/>
      <w:r w:rsidR="00B609C4" w:rsidRPr="008C3921">
        <w:rPr>
          <w:shd w:val="clear" w:color="auto" w:fill="FFFFFF"/>
        </w:rPr>
        <w:t>helyisége(</w:t>
      </w:r>
      <w:proofErr w:type="spellStart"/>
      <w:proofErr w:type="gramEnd"/>
      <w:r w:rsidR="00B609C4" w:rsidRPr="008C3921">
        <w:rPr>
          <w:shd w:val="clear" w:color="auto" w:fill="FFFFFF"/>
        </w:rPr>
        <w:t>ke</w:t>
      </w:r>
      <w:proofErr w:type="spellEnd"/>
      <w:r w:rsidR="00B609C4" w:rsidRPr="008C3921">
        <w:rPr>
          <w:shd w:val="clear" w:color="auto" w:fill="FFFFFF"/>
        </w:rPr>
        <w:t>)t tartalmazó épületek</w:t>
      </w:r>
      <w:r w:rsidR="00683AAE" w:rsidRPr="008C3921">
        <w:rPr>
          <w:shd w:val="clear" w:color="auto" w:fill="FFFFFF"/>
        </w:rPr>
        <w:t>et</w:t>
      </w:r>
      <w:r w:rsidR="00B609C4" w:rsidRPr="008C3921">
        <w:rPr>
          <w:shd w:val="clear" w:color="auto" w:fill="FFFFFF"/>
        </w:rPr>
        <w:t xml:space="preserve"> egymástól legalább </w:t>
      </w:r>
      <w:r w:rsidR="00683AAE" w:rsidRPr="008C3921">
        <w:rPr>
          <w:shd w:val="clear" w:color="auto" w:fill="FFFFFF"/>
        </w:rPr>
        <w:t>az előírt épületmagasság méretének távolságában kell elhelyezni.</w:t>
      </w:r>
    </w:p>
    <w:p w:rsidR="00B609C4" w:rsidRDefault="00B609C4" w:rsidP="00270AF6">
      <w:pPr>
        <w:pStyle w:val="jnorml"/>
        <w:spacing w:line="240" w:lineRule="auto"/>
        <w:ind w:left="-142"/>
        <w:rPr>
          <w:shd w:val="clear" w:color="auto" w:fill="FFFFFF"/>
        </w:rPr>
      </w:pPr>
      <w:r w:rsidRPr="008C3921">
        <w:rPr>
          <w:shd w:val="clear" w:color="auto" w:fill="FFFFFF"/>
        </w:rPr>
        <w:t>(</w:t>
      </w:r>
      <w:r w:rsidR="003A27E2">
        <w:rPr>
          <w:shd w:val="clear" w:color="auto" w:fill="FFFFFF"/>
        </w:rPr>
        <w:t>19</w:t>
      </w:r>
      <w:r w:rsidRPr="008C3921">
        <w:rPr>
          <w:shd w:val="clear" w:color="auto" w:fill="FFFFFF"/>
        </w:rPr>
        <w:t>) Meglévő épület rendeltetése akkor módosítható, ha a tervezett rendeltetés az adott telken - az általános építésügyi szabályok és a helyi építési szabályzat előírásainak megfelelően - megépíthető lenne.</w:t>
      </w:r>
      <w:r w:rsidR="00842BC8">
        <w:rPr>
          <w:shd w:val="clear" w:color="auto" w:fill="FFFFFF"/>
        </w:rPr>
        <w:t>”</w:t>
      </w:r>
    </w:p>
    <w:p w:rsidR="005E2946" w:rsidRDefault="005E2946" w:rsidP="00816DED">
      <w:pPr>
        <w:pStyle w:val="jnorml"/>
        <w:spacing w:line="240" w:lineRule="auto"/>
        <w:ind w:left="-284"/>
        <w:rPr>
          <w:shd w:val="clear" w:color="auto" w:fill="FFFFFF"/>
        </w:rPr>
      </w:pPr>
    </w:p>
    <w:p w:rsidR="00A54689" w:rsidRPr="008C3921" w:rsidRDefault="00507809" w:rsidP="00A5468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72C31">
        <w:rPr>
          <w:rFonts w:ascii="Times New Roman" w:hAnsi="Times New Roman" w:cs="Times New Roman"/>
          <w:b/>
          <w:sz w:val="24"/>
          <w:szCs w:val="24"/>
        </w:rPr>
        <w:t>3</w:t>
      </w:r>
      <w:r w:rsidR="00A54689" w:rsidRPr="008C3921">
        <w:rPr>
          <w:rFonts w:ascii="Times New Roman" w:hAnsi="Times New Roman" w:cs="Times New Roman"/>
          <w:b/>
          <w:sz w:val="24"/>
          <w:szCs w:val="24"/>
        </w:rPr>
        <w:t>.§</w:t>
      </w:r>
    </w:p>
    <w:p w:rsidR="00A54689" w:rsidRPr="008C3921" w:rsidRDefault="00A54689" w:rsidP="00A54689">
      <w:pPr>
        <w:spacing w:after="0" w:line="240" w:lineRule="auto"/>
        <w:rPr>
          <w:rFonts w:ascii="Times New Roman" w:hAnsi="Times New Roman" w:cs="Times New Roman"/>
          <w:sz w:val="24"/>
          <w:szCs w:val="24"/>
        </w:rPr>
      </w:pPr>
    </w:p>
    <w:p w:rsidR="00A54689" w:rsidRDefault="00A54689" w:rsidP="00A54689">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9</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6</w:t>
      </w:r>
      <w:r w:rsidRPr="008C3921">
        <w:rPr>
          <w:rFonts w:ascii="Times New Roman" w:hAnsi="Times New Roman"/>
          <w:sz w:val="24"/>
          <w:szCs w:val="24"/>
        </w:rPr>
        <w:t>) bekezdés</w:t>
      </w:r>
      <w:r w:rsidR="00842BC8">
        <w:rPr>
          <w:rFonts w:ascii="Times New Roman" w:hAnsi="Times New Roman"/>
          <w:sz w:val="24"/>
          <w:szCs w:val="24"/>
        </w:rPr>
        <w:t>sel</w:t>
      </w:r>
      <w:r w:rsidRPr="008C3921">
        <w:rPr>
          <w:rFonts w:ascii="Times New Roman" w:hAnsi="Times New Roman"/>
          <w:sz w:val="24"/>
          <w:szCs w:val="24"/>
        </w:rPr>
        <w:t xml:space="preserve"> egészül ki:</w:t>
      </w:r>
    </w:p>
    <w:p w:rsidR="00A54689" w:rsidRDefault="00842BC8" w:rsidP="00270AF6">
      <w:pPr>
        <w:pStyle w:val="jnorml"/>
        <w:spacing w:line="240" w:lineRule="auto"/>
        <w:ind w:left="-142"/>
        <w:rPr>
          <w:shd w:val="clear" w:color="auto" w:fill="FFFFFF"/>
        </w:rPr>
      </w:pPr>
      <w:r>
        <w:rPr>
          <w:shd w:val="clear" w:color="auto" w:fill="FFFFFF"/>
        </w:rPr>
        <w:t>„</w:t>
      </w:r>
      <w:r w:rsidR="00A54689">
        <w:rPr>
          <w:shd w:val="clear" w:color="auto" w:fill="FFFFFF"/>
        </w:rPr>
        <w:t>(</w:t>
      </w:r>
      <w:r w:rsidR="00272C31">
        <w:rPr>
          <w:shd w:val="clear" w:color="auto" w:fill="FFFFFF"/>
        </w:rPr>
        <w:t>6</w:t>
      </w:r>
      <w:r w:rsidR="00A54689">
        <w:rPr>
          <w:shd w:val="clear" w:color="auto" w:fill="FFFFFF"/>
        </w:rPr>
        <w:t xml:space="preserve">) Az </w:t>
      </w:r>
      <w:proofErr w:type="spellStart"/>
      <w:r w:rsidR="00A54689">
        <w:rPr>
          <w:shd w:val="clear" w:color="auto" w:fill="FFFFFF"/>
        </w:rPr>
        <w:t>Lk</w:t>
      </w:r>
      <w:proofErr w:type="spellEnd"/>
      <w:r w:rsidR="00A54689">
        <w:rPr>
          <w:shd w:val="clear" w:color="auto" w:fill="FFFFFF"/>
        </w:rPr>
        <w:t xml:space="preserve"> jelű övezetek </w:t>
      </w:r>
      <w:proofErr w:type="gramStart"/>
      <w:r w:rsidR="00A54689">
        <w:rPr>
          <w:shd w:val="clear" w:color="auto" w:fill="FFFFFF"/>
        </w:rPr>
        <w:t>terület</w:t>
      </w:r>
      <w:r w:rsidR="00BA4048">
        <w:rPr>
          <w:shd w:val="clear" w:color="auto" w:fill="FFFFFF"/>
        </w:rPr>
        <w:t>én</w:t>
      </w:r>
      <w:proofErr w:type="gramEnd"/>
      <w:r w:rsidR="00BA4048">
        <w:rPr>
          <w:shd w:val="clear" w:color="auto" w:fill="FFFFFF"/>
        </w:rPr>
        <w:t xml:space="preserve"> egy telken </w:t>
      </w:r>
      <w:r w:rsidR="00A54689">
        <w:rPr>
          <w:shd w:val="clear" w:color="auto" w:fill="FFFFFF"/>
        </w:rPr>
        <w:t>legfeljebb egy melléképület (garázs, tároló) helyezhető el.</w:t>
      </w:r>
      <w:r>
        <w:rPr>
          <w:shd w:val="clear" w:color="auto" w:fill="FFFFFF"/>
        </w:rPr>
        <w:t>”</w:t>
      </w:r>
    </w:p>
    <w:p w:rsidR="00BA4048" w:rsidRDefault="00BA4048" w:rsidP="00816DED">
      <w:pPr>
        <w:pStyle w:val="jnorml"/>
        <w:spacing w:line="240" w:lineRule="auto"/>
        <w:ind w:left="-284"/>
        <w:rPr>
          <w:shd w:val="clear" w:color="auto" w:fill="FFFFFF"/>
        </w:rPr>
      </w:pPr>
    </w:p>
    <w:p w:rsidR="00BA4048" w:rsidRPr="008C3921" w:rsidRDefault="00507809" w:rsidP="00BA40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72C31">
        <w:rPr>
          <w:rFonts w:ascii="Times New Roman" w:hAnsi="Times New Roman" w:cs="Times New Roman"/>
          <w:b/>
          <w:sz w:val="24"/>
          <w:szCs w:val="24"/>
        </w:rPr>
        <w:t>4</w:t>
      </w:r>
      <w:r w:rsidR="00BA4048" w:rsidRPr="008C3921">
        <w:rPr>
          <w:rFonts w:ascii="Times New Roman" w:hAnsi="Times New Roman" w:cs="Times New Roman"/>
          <w:b/>
          <w:sz w:val="24"/>
          <w:szCs w:val="24"/>
        </w:rPr>
        <w:t>.§</w:t>
      </w:r>
    </w:p>
    <w:p w:rsidR="00BA4048" w:rsidRPr="008C3921" w:rsidRDefault="00BA4048" w:rsidP="00BA4048">
      <w:pPr>
        <w:spacing w:after="0" w:line="240" w:lineRule="auto"/>
        <w:rPr>
          <w:rFonts w:ascii="Times New Roman" w:hAnsi="Times New Roman" w:cs="Times New Roman"/>
          <w:sz w:val="24"/>
          <w:szCs w:val="24"/>
        </w:rPr>
      </w:pPr>
    </w:p>
    <w:p w:rsidR="00BA4048" w:rsidRDefault="00BA4048" w:rsidP="00BA4048">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21</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8</w:t>
      </w:r>
      <w:r w:rsidRPr="008C3921">
        <w:rPr>
          <w:rFonts w:ascii="Times New Roman" w:hAnsi="Times New Roman"/>
          <w:sz w:val="24"/>
          <w:szCs w:val="24"/>
        </w:rPr>
        <w:t>) bekezdés</w:t>
      </w:r>
      <w:r w:rsidR="00842BC8">
        <w:rPr>
          <w:rFonts w:ascii="Times New Roman" w:hAnsi="Times New Roman"/>
          <w:sz w:val="24"/>
          <w:szCs w:val="24"/>
        </w:rPr>
        <w:t>sel</w:t>
      </w:r>
      <w:r w:rsidRPr="008C3921">
        <w:rPr>
          <w:rFonts w:ascii="Times New Roman" w:hAnsi="Times New Roman"/>
          <w:sz w:val="24"/>
          <w:szCs w:val="24"/>
        </w:rPr>
        <w:t xml:space="preserve"> egészül ki:</w:t>
      </w:r>
    </w:p>
    <w:p w:rsidR="00BA4048" w:rsidRDefault="00842BC8" w:rsidP="00270AF6">
      <w:pPr>
        <w:pStyle w:val="jnorml"/>
        <w:spacing w:line="240" w:lineRule="auto"/>
        <w:ind w:left="-142"/>
        <w:rPr>
          <w:shd w:val="clear" w:color="auto" w:fill="FFFFFF"/>
        </w:rPr>
      </w:pPr>
      <w:r>
        <w:rPr>
          <w:shd w:val="clear" w:color="auto" w:fill="FFFFFF"/>
        </w:rPr>
        <w:t>„</w:t>
      </w:r>
      <w:r w:rsidR="00BA4048">
        <w:rPr>
          <w:shd w:val="clear" w:color="auto" w:fill="FFFFFF"/>
        </w:rPr>
        <w:t>(</w:t>
      </w:r>
      <w:r w:rsidR="00270AF6">
        <w:rPr>
          <w:shd w:val="clear" w:color="auto" w:fill="FFFFFF"/>
        </w:rPr>
        <w:t>8</w:t>
      </w:r>
      <w:r w:rsidR="00BA4048">
        <w:rPr>
          <w:shd w:val="clear" w:color="auto" w:fill="FFFFFF"/>
        </w:rPr>
        <w:t xml:space="preserve">) A </w:t>
      </w:r>
      <w:proofErr w:type="spellStart"/>
      <w:r w:rsidR="00BA4048">
        <w:rPr>
          <w:shd w:val="clear" w:color="auto" w:fill="FFFFFF"/>
        </w:rPr>
        <w:t>Vt</w:t>
      </w:r>
      <w:proofErr w:type="spellEnd"/>
      <w:r w:rsidR="00BA4048">
        <w:rPr>
          <w:shd w:val="clear" w:color="auto" w:fill="FFFFFF"/>
        </w:rPr>
        <w:t xml:space="preserve"> jelű övezetek </w:t>
      </w:r>
      <w:proofErr w:type="gramStart"/>
      <w:r w:rsidR="00BA4048">
        <w:rPr>
          <w:shd w:val="clear" w:color="auto" w:fill="FFFFFF"/>
        </w:rPr>
        <w:t>területén</w:t>
      </w:r>
      <w:proofErr w:type="gramEnd"/>
      <w:r w:rsidR="00BA4048">
        <w:rPr>
          <w:shd w:val="clear" w:color="auto" w:fill="FFFFFF"/>
        </w:rPr>
        <w:t xml:space="preserve"> egy telken legfeljebb egy melléképület (garázs, tároló) helyezhető el.</w:t>
      </w:r>
      <w:r>
        <w:rPr>
          <w:shd w:val="clear" w:color="auto" w:fill="FFFFFF"/>
        </w:rPr>
        <w:t>”</w:t>
      </w:r>
    </w:p>
    <w:p w:rsidR="00BA4048" w:rsidRDefault="00BA4048" w:rsidP="00816DED">
      <w:pPr>
        <w:pStyle w:val="jnorml"/>
        <w:spacing w:line="240" w:lineRule="auto"/>
        <w:ind w:left="-284"/>
        <w:rPr>
          <w:shd w:val="clear" w:color="auto" w:fill="FFFFFF"/>
        </w:rPr>
      </w:pPr>
    </w:p>
    <w:p w:rsidR="00F542BC" w:rsidRPr="008C3921" w:rsidRDefault="00507809" w:rsidP="00F542B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270AF6">
        <w:rPr>
          <w:rFonts w:ascii="Times New Roman" w:hAnsi="Times New Roman" w:cs="Times New Roman"/>
          <w:b/>
          <w:sz w:val="24"/>
          <w:szCs w:val="24"/>
        </w:rPr>
        <w:t>5</w:t>
      </w:r>
      <w:r w:rsidR="00F542BC" w:rsidRPr="008C3921">
        <w:rPr>
          <w:rFonts w:ascii="Times New Roman" w:hAnsi="Times New Roman" w:cs="Times New Roman"/>
          <w:b/>
          <w:sz w:val="24"/>
          <w:szCs w:val="24"/>
        </w:rPr>
        <w:t>.§</w:t>
      </w:r>
    </w:p>
    <w:p w:rsidR="00F542BC" w:rsidRPr="008C3921" w:rsidRDefault="00F542BC" w:rsidP="00F542BC">
      <w:pPr>
        <w:spacing w:after="0" w:line="240" w:lineRule="auto"/>
        <w:rPr>
          <w:rFonts w:ascii="Times New Roman" w:hAnsi="Times New Roman" w:cs="Times New Roman"/>
          <w:sz w:val="24"/>
          <w:szCs w:val="24"/>
        </w:rPr>
      </w:pPr>
    </w:p>
    <w:p w:rsidR="00F542BC" w:rsidRDefault="00F542BC" w:rsidP="00F542BC">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34</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3</w:t>
      </w:r>
      <w:r w:rsidRPr="008C3921">
        <w:rPr>
          <w:rFonts w:ascii="Times New Roman" w:hAnsi="Times New Roman"/>
          <w:sz w:val="24"/>
          <w:szCs w:val="24"/>
        </w:rPr>
        <w:t>) bekezdés</w:t>
      </w:r>
      <w:r w:rsidR="00A54689">
        <w:rPr>
          <w:rFonts w:ascii="Times New Roman" w:hAnsi="Times New Roman"/>
          <w:sz w:val="24"/>
          <w:szCs w:val="24"/>
        </w:rPr>
        <w:t>s</w:t>
      </w:r>
      <w:r w:rsidRPr="008C3921">
        <w:rPr>
          <w:rFonts w:ascii="Times New Roman" w:hAnsi="Times New Roman"/>
          <w:sz w:val="24"/>
          <w:szCs w:val="24"/>
        </w:rPr>
        <w:t>el egészül ki:</w:t>
      </w:r>
    </w:p>
    <w:p w:rsidR="00F542BC" w:rsidRDefault="00842BC8" w:rsidP="00816DED">
      <w:pPr>
        <w:pStyle w:val="jnorml"/>
        <w:spacing w:line="240" w:lineRule="auto"/>
        <w:ind w:left="-284"/>
        <w:rPr>
          <w:shd w:val="clear" w:color="auto" w:fill="FFFFFF"/>
        </w:rPr>
      </w:pPr>
      <w:r>
        <w:rPr>
          <w:shd w:val="clear" w:color="auto" w:fill="FFFFFF"/>
        </w:rPr>
        <w:t>„</w:t>
      </w:r>
      <w:r w:rsidR="00F542BC">
        <w:rPr>
          <w:shd w:val="clear" w:color="auto" w:fill="FFFFFF"/>
        </w:rPr>
        <w:t xml:space="preserve">(3) Az övezetek </w:t>
      </w:r>
      <w:proofErr w:type="gramStart"/>
      <w:r w:rsidR="00F542BC">
        <w:rPr>
          <w:shd w:val="clear" w:color="auto" w:fill="FFFFFF"/>
        </w:rPr>
        <w:t>terület</w:t>
      </w:r>
      <w:r w:rsidR="00BA4048">
        <w:rPr>
          <w:shd w:val="clear" w:color="auto" w:fill="FFFFFF"/>
        </w:rPr>
        <w:t>é</w:t>
      </w:r>
      <w:r w:rsidR="00F542BC">
        <w:rPr>
          <w:shd w:val="clear" w:color="auto" w:fill="FFFFFF"/>
        </w:rPr>
        <w:t>n</w:t>
      </w:r>
      <w:proofErr w:type="gramEnd"/>
      <w:r w:rsidR="00F542BC">
        <w:rPr>
          <w:shd w:val="clear" w:color="auto" w:fill="FFFFFF"/>
        </w:rPr>
        <w:t xml:space="preserve"> egy telken legfeljebb két épület helyezhető el.</w:t>
      </w:r>
      <w:r>
        <w:rPr>
          <w:shd w:val="clear" w:color="auto" w:fill="FFFFFF"/>
        </w:rPr>
        <w:t>”</w:t>
      </w:r>
    </w:p>
    <w:p w:rsidR="007807A1" w:rsidRDefault="007807A1" w:rsidP="00816DED">
      <w:pPr>
        <w:pStyle w:val="jnorml"/>
        <w:spacing w:line="240" w:lineRule="auto"/>
        <w:ind w:left="-284"/>
        <w:rPr>
          <w:shd w:val="clear" w:color="auto" w:fill="FFFFFF"/>
        </w:rPr>
      </w:pPr>
    </w:p>
    <w:p w:rsidR="007807A1" w:rsidRPr="008C3921" w:rsidRDefault="007807A1" w:rsidP="007807A1">
      <w:pPr>
        <w:spacing w:after="0" w:line="240" w:lineRule="auto"/>
        <w:jc w:val="center"/>
        <w:rPr>
          <w:rFonts w:ascii="Times New Roman" w:hAnsi="Times New Roman" w:cs="Times New Roman"/>
          <w:b/>
          <w:sz w:val="24"/>
          <w:szCs w:val="24"/>
        </w:rPr>
      </w:pPr>
      <w:r w:rsidRPr="007807A1">
        <w:rPr>
          <w:rFonts w:ascii="Times New Roman" w:hAnsi="Times New Roman" w:cs="Times New Roman"/>
          <w:b/>
          <w:sz w:val="24"/>
          <w:szCs w:val="24"/>
        </w:rPr>
        <w:t>16.§</w:t>
      </w:r>
    </w:p>
    <w:p w:rsidR="007807A1" w:rsidRPr="008C3921" w:rsidRDefault="007807A1" w:rsidP="007807A1">
      <w:pPr>
        <w:spacing w:after="0" w:line="240" w:lineRule="auto"/>
        <w:rPr>
          <w:rFonts w:ascii="Times New Roman" w:hAnsi="Times New Roman" w:cs="Times New Roman"/>
          <w:sz w:val="24"/>
          <w:szCs w:val="24"/>
        </w:rPr>
      </w:pPr>
    </w:p>
    <w:p w:rsidR="007807A1" w:rsidRDefault="007807A1" w:rsidP="007807A1">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35</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3</w:t>
      </w:r>
      <w:r w:rsidRPr="008C3921">
        <w:rPr>
          <w:rFonts w:ascii="Times New Roman" w:hAnsi="Times New Roman"/>
          <w:sz w:val="24"/>
          <w:szCs w:val="24"/>
        </w:rPr>
        <w:t>)</w:t>
      </w:r>
      <w:r>
        <w:rPr>
          <w:rFonts w:ascii="Times New Roman" w:hAnsi="Times New Roman"/>
          <w:sz w:val="24"/>
          <w:szCs w:val="24"/>
        </w:rPr>
        <w:t xml:space="preserve"> - (4)</w:t>
      </w:r>
      <w:r w:rsidRPr="008C3921">
        <w:rPr>
          <w:rFonts w:ascii="Times New Roman" w:hAnsi="Times New Roman"/>
          <w:sz w:val="24"/>
          <w:szCs w:val="24"/>
        </w:rPr>
        <w:t xml:space="preserve"> bekezdés</w:t>
      </w:r>
      <w:r>
        <w:rPr>
          <w:rFonts w:ascii="Times New Roman" w:hAnsi="Times New Roman"/>
          <w:sz w:val="24"/>
          <w:szCs w:val="24"/>
        </w:rPr>
        <w:t>s</w:t>
      </w:r>
      <w:r w:rsidRPr="008C3921">
        <w:rPr>
          <w:rFonts w:ascii="Times New Roman" w:hAnsi="Times New Roman"/>
          <w:sz w:val="24"/>
          <w:szCs w:val="24"/>
        </w:rPr>
        <w:t>el egészül ki:</w:t>
      </w:r>
    </w:p>
    <w:p w:rsidR="007807A1" w:rsidRDefault="007807A1" w:rsidP="007807A1">
      <w:pPr>
        <w:spacing w:after="0" w:line="240" w:lineRule="auto"/>
        <w:ind w:left="-284"/>
        <w:jc w:val="both"/>
        <w:rPr>
          <w:rFonts w:ascii="Times New Roman" w:hAnsi="Times New Roman" w:cs="Times New Roman"/>
          <w:sz w:val="24"/>
          <w:szCs w:val="24"/>
        </w:rPr>
      </w:pPr>
      <w:r>
        <w:rPr>
          <w:shd w:val="clear" w:color="auto" w:fill="FFFFFF"/>
        </w:rPr>
        <w:t xml:space="preserve">„(3) </w:t>
      </w:r>
      <w:r>
        <w:rPr>
          <w:rFonts w:ascii="Times New Roman" w:hAnsi="Times New Roman" w:cs="Times New Roman"/>
          <w:sz w:val="24"/>
          <w:szCs w:val="24"/>
        </w:rPr>
        <w:t>Az övezetekben az alábbi rendeltetési egység számok helyezhetők el:</w:t>
      </w:r>
    </w:p>
    <w:p w:rsidR="007807A1" w:rsidRDefault="007807A1" w:rsidP="007807A1">
      <w:pPr>
        <w:spacing w:after="0" w:line="240" w:lineRule="auto"/>
        <w:ind w:left="-284"/>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900 m</w:t>
      </w:r>
      <w:r w:rsidRPr="009D5033">
        <w:rPr>
          <w:rFonts w:ascii="Times New Roman" w:hAnsi="Times New Roman" w:cs="Times New Roman"/>
          <w:sz w:val="24"/>
          <w:szCs w:val="24"/>
          <w:vertAlign w:val="superscript"/>
        </w:rPr>
        <w:t>2</w:t>
      </w:r>
      <w:r>
        <w:rPr>
          <w:rFonts w:ascii="Times New Roman" w:hAnsi="Times New Roman" w:cs="Times New Roman"/>
          <w:sz w:val="24"/>
          <w:szCs w:val="24"/>
        </w:rPr>
        <w:t xml:space="preserve"> teleknagyságig egy épületben legfeljebb két rendeltetési egység</w:t>
      </w:r>
    </w:p>
    <w:p w:rsidR="007807A1" w:rsidRDefault="007807A1" w:rsidP="007807A1">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b) 900-1800 m</w:t>
      </w:r>
      <w:r w:rsidRPr="009D5033">
        <w:rPr>
          <w:rFonts w:ascii="Times New Roman" w:hAnsi="Times New Roman" w:cs="Times New Roman"/>
          <w:sz w:val="24"/>
          <w:szCs w:val="24"/>
          <w:vertAlign w:val="superscript"/>
        </w:rPr>
        <w:t>2</w:t>
      </w:r>
      <w:r>
        <w:rPr>
          <w:rFonts w:ascii="Times New Roman" w:hAnsi="Times New Roman" w:cs="Times New Roman"/>
          <w:sz w:val="24"/>
          <w:szCs w:val="24"/>
        </w:rPr>
        <w:t xml:space="preserve"> teleknagyság között legfeljebb két épületben, legfeljebb összesen három rendeltetési egység, épületenként legfeljebb két rendeltetési egységgel</w:t>
      </w:r>
    </w:p>
    <w:p w:rsidR="007807A1" w:rsidRDefault="007807A1" w:rsidP="008319E7">
      <w:pPr>
        <w:spacing w:after="0" w:line="240" w:lineRule="auto"/>
        <w:ind w:left="-284"/>
        <w:jc w:val="both"/>
      </w:pPr>
      <w:r>
        <w:rPr>
          <w:rFonts w:ascii="Times New Roman" w:hAnsi="Times New Roman" w:cs="Times New Roman"/>
          <w:sz w:val="24"/>
          <w:szCs w:val="24"/>
        </w:rPr>
        <w:tab/>
        <w:t>c) 1800 m</w:t>
      </w:r>
      <w:r w:rsidRPr="009D5033">
        <w:rPr>
          <w:rFonts w:ascii="Times New Roman" w:hAnsi="Times New Roman" w:cs="Times New Roman"/>
          <w:sz w:val="24"/>
          <w:szCs w:val="24"/>
          <w:vertAlign w:val="superscript"/>
        </w:rPr>
        <w:t>2</w:t>
      </w:r>
      <w:r>
        <w:rPr>
          <w:rFonts w:ascii="Times New Roman" w:hAnsi="Times New Roman" w:cs="Times New Roman"/>
          <w:sz w:val="24"/>
          <w:szCs w:val="24"/>
        </w:rPr>
        <w:t xml:space="preserve"> teleknagyság felett legfeljebb két épületben, legfeljebb összesen négy rendeltetési egység, épületenként legfeljebb két rendeltetési egységgel.</w:t>
      </w:r>
    </w:p>
    <w:p w:rsidR="007807A1" w:rsidRPr="008319E7" w:rsidRDefault="007807A1" w:rsidP="008319E7">
      <w:pPr>
        <w:spacing w:after="0" w:line="240" w:lineRule="auto"/>
        <w:ind w:left="-284"/>
        <w:jc w:val="both"/>
      </w:pPr>
      <w:r>
        <w:rPr>
          <w:rFonts w:ascii="Times New Roman" w:hAnsi="Times New Roman" w:cs="Times New Roman"/>
          <w:sz w:val="24"/>
          <w:szCs w:val="24"/>
        </w:rPr>
        <w:t>(4) Az övezetekben mobilház, konténerház, lakókocsi nem helyezhető el</w:t>
      </w:r>
      <w:r>
        <w:rPr>
          <w:shd w:val="clear" w:color="auto" w:fill="FFFFFF"/>
        </w:rPr>
        <w:t>”</w:t>
      </w:r>
    </w:p>
    <w:p w:rsidR="007807A1" w:rsidRDefault="007807A1" w:rsidP="00816DED">
      <w:pPr>
        <w:pStyle w:val="jnorml"/>
        <w:spacing w:line="240" w:lineRule="auto"/>
        <w:ind w:left="-284"/>
        <w:rPr>
          <w:shd w:val="clear" w:color="auto" w:fill="FFFFFF"/>
        </w:rPr>
      </w:pPr>
    </w:p>
    <w:p w:rsidR="00900A1C" w:rsidRPr="008C3921" w:rsidRDefault="005535B2" w:rsidP="00816DED">
      <w:pPr>
        <w:spacing w:after="0" w:line="240" w:lineRule="auto"/>
        <w:jc w:val="center"/>
        <w:rPr>
          <w:rFonts w:ascii="Times New Roman" w:hAnsi="Times New Roman" w:cs="Times New Roman"/>
          <w:b/>
          <w:sz w:val="24"/>
          <w:szCs w:val="24"/>
        </w:rPr>
      </w:pPr>
      <w:r w:rsidRPr="007D7C37">
        <w:rPr>
          <w:rFonts w:ascii="Times New Roman" w:hAnsi="Times New Roman" w:cs="Times New Roman"/>
          <w:b/>
          <w:sz w:val="24"/>
          <w:szCs w:val="24"/>
        </w:rPr>
        <w:t>1</w:t>
      </w:r>
      <w:r w:rsidR="007D7C37">
        <w:rPr>
          <w:rFonts w:ascii="Times New Roman" w:hAnsi="Times New Roman" w:cs="Times New Roman"/>
          <w:b/>
          <w:sz w:val="24"/>
          <w:szCs w:val="24"/>
        </w:rPr>
        <w:t>7</w:t>
      </w:r>
      <w:r w:rsidR="00900A1C" w:rsidRPr="007D7C37">
        <w:rPr>
          <w:rFonts w:ascii="Times New Roman" w:hAnsi="Times New Roman" w:cs="Times New Roman"/>
          <w:b/>
          <w:sz w:val="24"/>
          <w:szCs w:val="24"/>
        </w:rPr>
        <w:t>.§</w:t>
      </w:r>
    </w:p>
    <w:p w:rsidR="00900A1C" w:rsidRPr="008C3921" w:rsidRDefault="00900A1C" w:rsidP="00816DED">
      <w:pPr>
        <w:spacing w:after="0" w:line="240" w:lineRule="auto"/>
        <w:rPr>
          <w:rFonts w:ascii="Times New Roman" w:hAnsi="Times New Roman" w:cs="Times New Roman"/>
          <w:sz w:val="24"/>
          <w:szCs w:val="24"/>
        </w:rPr>
      </w:pPr>
    </w:p>
    <w:p w:rsidR="00430079" w:rsidRDefault="00900A1C">
      <w:pPr>
        <w:pStyle w:val="Nincstrkz"/>
        <w:ind w:left="-284"/>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50</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12</w:t>
      </w:r>
      <w:r w:rsidRPr="008C3921">
        <w:rPr>
          <w:rFonts w:ascii="Times New Roman" w:hAnsi="Times New Roman"/>
          <w:sz w:val="24"/>
          <w:szCs w:val="24"/>
        </w:rPr>
        <w:t>) -</w:t>
      </w:r>
      <w:r w:rsidR="007807A1">
        <w:rPr>
          <w:rFonts w:ascii="Times New Roman" w:hAnsi="Times New Roman"/>
          <w:sz w:val="24"/>
          <w:szCs w:val="24"/>
        </w:rPr>
        <w:t xml:space="preserve"> </w:t>
      </w:r>
      <w:r w:rsidRPr="008C3921">
        <w:rPr>
          <w:rFonts w:ascii="Times New Roman" w:hAnsi="Times New Roman"/>
          <w:sz w:val="24"/>
          <w:szCs w:val="24"/>
        </w:rPr>
        <w:t>(</w:t>
      </w:r>
      <w:r w:rsidR="00051F87">
        <w:rPr>
          <w:rFonts w:ascii="Times New Roman" w:hAnsi="Times New Roman"/>
          <w:sz w:val="24"/>
          <w:szCs w:val="24"/>
        </w:rPr>
        <w:t>1</w:t>
      </w:r>
      <w:r w:rsidR="00B156CB">
        <w:rPr>
          <w:rFonts w:ascii="Times New Roman" w:hAnsi="Times New Roman"/>
          <w:sz w:val="24"/>
          <w:szCs w:val="24"/>
        </w:rPr>
        <w:t>4</w:t>
      </w:r>
      <w:r w:rsidRPr="008C3921">
        <w:rPr>
          <w:rFonts w:ascii="Times New Roman" w:hAnsi="Times New Roman"/>
          <w:sz w:val="24"/>
          <w:szCs w:val="24"/>
        </w:rPr>
        <w:t>) bekezdés</w:t>
      </w:r>
      <w:r w:rsidR="00AA3EB8">
        <w:rPr>
          <w:rFonts w:ascii="Times New Roman" w:hAnsi="Times New Roman"/>
          <w:sz w:val="24"/>
          <w:szCs w:val="24"/>
        </w:rPr>
        <w:t xml:space="preserve">sel </w:t>
      </w:r>
      <w:r w:rsidRPr="008C3921">
        <w:rPr>
          <w:rFonts w:ascii="Times New Roman" w:hAnsi="Times New Roman"/>
          <w:sz w:val="24"/>
          <w:szCs w:val="24"/>
        </w:rPr>
        <w:t>egészül ki:</w:t>
      </w:r>
    </w:p>
    <w:p w:rsidR="00430079" w:rsidRDefault="00900A1C">
      <w:pPr>
        <w:pStyle w:val="Nincstrkz"/>
        <w:ind w:left="-284"/>
        <w:jc w:val="both"/>
        <w:rPr>
          <w:rFonts w:ascii="Times New Roman" w:hAnsi="Times New Roman"/>
          <w:sz w:val="24"/>
          <w:szCs w:val="24"/>
        </w:rPr>
      </w:pPr>
      <w:r>
        <w:rPr>
          <w:rFonts w:ascii="Times New Roman" w:hAnsi="Times New Roman"/>
          <w:sz w:val="24"/>
          <w:szCs w:val="24"/>
        </w:rPr>
        <w:t>(1</w:t>
      </w:r>
      <w:r w:rsidR="00B156CB">
        <w:rPr>
          <w:rFonts w:ascii="Times New Roman" w:hAnsi="Times New Roman"/>
          <w:sz w:val="24"/>
          <w:szCs w:val="24"/>
        </w:rPr>
        <w:t>2</w:t>
      </w:r>
      <w:r>
        <w:rPr>
          <w:rFonts w:ascii="Times New Roman" w:hAnsi="Times New Roman"/>
          <w:sz w:val="24"/>
          <w:szCs w:val="24"/>
        </w:rPr>
        <w:t xml:space="preserve">) Beépítésre szánt területeken - a </w:t>
      </w:r>
      <w:r w:rsidR="009D5033" w:rsidRPr="008F620E">
        <w:rPr>
          <w:rFonts w:ascii="Times New Roman" w:hAnsi="Times New Roman"/>
          <w:sz w:val="24"/>
          <w:szCs w:val="24"/>
        </w:rPr>
        <w:t>(11)</w:t>
      </w:r>
      <w:r>
        <w:rPr>
          <w:rFonts w:ascii="Times New Roman" w:hAnsi="Times New Roman"/>
          <w:sz w:val="24"/>
          <w:szCs w:val="24"/>
        </w:rPr>
        <w:t xml:space="preserve"> bekezdésben felsorolt területek kivételével - a </w:t>
      </w:r>
      <w:r w:rsidR="00B32AF3">
        <w:rPr>
          <w:rFonts w:ascii="Times New Roman" w:hAnsi="Times New Roman"/>
          <w:sz w:val="24"/>
          <w:szCs w:val="24"/>
        </w:rPr>
        <w:t>magánutak</w:t>
      </w:r>
      <w:r>
        <w:rPr>
          <w:rFonts w:ascii="Times New Roman" w:hAnsi="Times New Roman"/>
          <w:sz w:val="24"/>
          <w:szCs w:val="24"/>
        </w:rPr>
        <w:t xml:space="preserve"> szélessége </w:t>
      </w:r>
      <w:r w:rsidR="007D7C37">
        <w:rPr>
          <w:rFonts w:ascii="Times New Roman" w:hAnsi="Times New Roman"/>
          <w:sz w:val="24"/>
          <w:szCs w:val="24"/>
        </w:rPr>
        <w:t>1 telek megközelítése esetén legalább 8 m, több telek megközelítése esetén legalább 12 m. B</w:t>
      </w:r>
      <w:r>
        <w:rPr>
          <w:rFonts w:ascii="Times New Roman" w:hAnsi="Times New Roman"/>
          <w:sz w:val="24"/>
          <w:szCs w:val="24"/>
        </w:rPr>
        <w:t xml:space="preserve">eépítésre nem szánt területeken </w:t>
      </w:r>
      <w:r w:rsidR="007D7C37">
        <w:rPr>
          <w:rFonts w:ascii="Times New Roman" w:hAnsi="Times New Roman"/>
          <w:sz w:val="24"/>
          <w:szCs w:val="24"/>
        </w:rPr>
        <w:t>a magánutak szélessége 1 telek megközelítése esetén legalább 6 m, több telek megközelítése esetén legalább 8 m</w:t>
      </w:r>
    </w:p>
    <w:p w:rsidR="00430079" w:rsidRDefault="00900A1C">
      <w:pPr>
        <w:pStyle w:val="Nincstrkz"/>
        <w:ind w:left="-284"/>
        <w:jc w:val="both"/>
        <w:rPr>
          <w:rFonts w:ascii="Times New Roman" w:hAnsi="Times New Roman"/>
          <w:sz w:val="24"/>
          <w:szCs w:val="24"/>
        </w:rPr>
      </w:pPr>
      <w:r>
        <w:rPr>
          <w:rFonts w:ascii="Times New Roman" w:hAnsi="Times New Roman"/>
          <w:sz w:val="24"/>
          <w:szCs w:val="24"/>
        </w:rPr>
        <w:t>(1</w:t>
      </w:r>
      <w:r w:rsidR="00B156CB">
        <w:rPr>
          <w:rFonts w:ascii="Times New Roman" w:hAnsi="Times New Roman"/>
          <w:sz w:val="24"/>
          <w:szCs w:val="24"/>
        </w:rPr>
        <w:t>3</w:t>
      </w:r>
      <w:r>
        <w:rPr>
          <w:rFonts w:ascii="Times New Roman" w:hAnsi="Times New Roman"/>
          <w:sz w:val="24"/>
          <w:szCs w:val="24"/>
        </w:rPr>
        <w:t>) Lakó- és üdülő rendeltetési egységek esetén minden rendel</w:t>
      </w:r>
      <w:r w:rsidR="00543E52">
        <w:rPr>
          <w:rFonts w:ascii="Times New Roman" w:hAnsi="Times New Roman"/>
          <w:sz w:val="24"/>
          <w:szCs w:val="24"/>
        </w:rPr>
        <w:t xml:space="preserve">tetési egységhez legalább </w:t>
      </w:r>
      <w:r>
        <w:rPr>
          <w:rFonts w:ascii="Times New Roman" w:hAnsi="Times New Roman"/>
          <w:sz w:val="24"/>
          <w:szCs w:val="24"/>
        </w:rPr>
        <w:t>1 db személygépkocsi elhelyezését kell kötelezően biztosítani.</w:t>
      </w:r>
    </w:p>
    <w:p w:rsidR="00430079" w:rsidRDefault="00D82ADE">
      <w:pPr>
        <w:pStyle w:val="Nincstrkz"/>
        <w:ind w:left="-284"/>
        <w:jc w:val="both"/>
        <w:rPr>
          <w:rFonts w:ascii="Times New Roman" w:hAnsi="Times New Roman"/>
          <w:sz w:val="24"/>
          <w:szCs w:val="24"/>
        </w:rPr>
      </w:pPr>
      <w:r>
        <w:rPr>
          <w:rFonts w:ascii="Times New Roman" w:hAnsi="Times New Roman"/>
          <w:sz w:val="24"/>
          <w:szCs w:val="24"/>
        </w:rPr>
        <w:t>(1</w:t>
      </w:r>
      <w:r w:rsidR="00B156CB">
        <w:rPr>
          <w:rFonts w:ascii="Times New Roman" w:hAnsi="Times New Roman"/>
          <w:sz w:val="24"/>
          <w:szCs w:val="24"/>
        </w:rPr>
        <w:t>4</w:t>
      </w:r>
      <w:r>
        <w:rPr>
          <w:rFonts w:ascii="Times New Roman" w:hAnsi="Times New Roman"/>
          <w:sz w:val="24"/>
          <w:szCs w:val="24"/>
        </w:rPr>
        <w:t>) Telkenként legfeljebb egy, és legfeljebb 6,0 m széles közterület csatlakozás lehetséges</w:t>
      </w:r>
      <w:r w:rsidR="00C307FA">
        <w:rPr>
          <w:rFonts w:ascii="Times New Roman" w:hAnsi="Times New Roman"/>
          <w:sz w:val="24"/>
          <w:szCs w:val="24"/>
        </w:rPr>
        <w:t>. Ahol a rendeltetés szükségessé teszi a forgalom szétválasztását, valamint olyan telkek esetén ahol a telek két különböző oldala közterülettel határos két közterület csatlakozás megengedett.</w:t>
      </w:r>
      <w:r w:rsidR="00842BC8">
        <w:rPr>
          <w:rFonts w:ascii="Times New Roman" w:hAnsi="Times New Roman"/>
          <w:sz w:val="24"/>
          <w:szCs w:val="24"/>
        </w:rPr>
        <w:t>”</w:t>
      </w:r>
    </w:p>
    <w:p w:rsidR="00CC7B32" w:rsidRDefault="00CC7B32" w:rsidP="00B141A5">
      <w:pPr>
        <w:pStyle w:val="jnorml"/>
        <w:spacing w:line="240" w:lineRule="auto"/>
        <w:ind w:left="-284"/>
        <w:rPr>
          <w:shd w:val="clear" w:color="auto" w:fill="FFFFFF"/>
        </w:rPr>
      </w:pPr>
    </w:p>
    <w:p w:rsidR="005535B2" w:rsidRPr="008C3921" w:rsidRDefault="007D7C37" w:rsidP="00B141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w:t>
      </w:r>
      <w:r w:rsidR="005535B2" w:rsidRPr="008C3921">
        <w:rPr>
          <w:rFonts w:ascii="Times New Roman" w:hAnsi="Times New Roman" w:cs="Times New Roman"/>
          <w:b/>
          <w:sz w:val="24"/>
          <w:szCs w:val="24"/>
        </w:rPr>
        <w:t>.§</w:t>
      </w:r>
    </w:p>
    <w:p w:rsidR="005535B2" w:rsidRPr="008C3921" w:rsidRDefault="005535B2" w:rsidP="00B141A5">
      <w:pPr>
        <w:spacing w:after="0" w:line="240" w:lineRule="auto"/>
        <w:rPr>
          <w:rFonts w:ascii="Times New Roman" w:hAnsi="Times New Roman" w:cs="Times New Roman"/>
          <w:sz w:val="24"/>
          <w:szCs w:val="24"/>
        </w:rPr>
      </w:pPr>
    </w:p>
    <w:p w:rsidR="00430079" w:rsidRDefault="005535B2">
      <w:pPr>
        <w:pStyle w:val="Nincstrkz"/>
        <w:ind w:left="-284"/>
        <w:jc w:val="both"/>
        <w:rPr>
          <w:rFonts w:ascii="Times New Roman" w:hAnsi="Times New Roman"/>
          <w:sz w:val="24"/>
          <w:szCs w:val="24"/>
        </w:rPr>
      </w:pPr>
      <w:r w:rsidRPr="008C3921">
        <w:rPr>
          <w:rFonts w:ascii="Times New Roman" w:hAnsi="Times New Roman"/>
          <w:sz w:val="24"/>
          <w:szCs w:val="24"/>
        </w:rPr>
        <w:t>A Rendelet a következő</w:t>
      </w:r>
      <w:r>
        <w:rPr>
          <w:rFonts w:ascii="Times New Roman" w:hAnsi="Times New Roman"/>
          <w:sz w:val="24"/>
          <w:szCs w:val="24"/>
        </w:rPr>
        <w:t xml:space="preserve"> 53</w:t>
      </w:r>
      <w:r w:rsidR="00B141A5">
        <w:rPr>
          <w:rFonts w:ascii="Times New Roman" w:hAnsi="Times New Roman"/>
          <w:sz w:val="24"/>
          <w:szCs w:val="24"/>
        </w:rPr>
        <w:t>/</w:t>
      </w:r>
      <w:r w:rsidR="00E25516">
        <w:rPr>
          <w:rFonts w:ascii="Times New Roman" w:hAnsi="Times New Roman"/>
          <w:sz w:val="24"/>
          <w:szCs w:val="24"/>
        </w:rPr>
        <w:t>A</w:t>
      </w:r>
      <w:r>
        <w:rPr>
          <w:rFonts w:ascii="Times New Roman" w:hAnsi="Times New Roman"/>
          <w:sz w:val="24"/>
          <w:szCs w:val="24"/>
        </w:rPr>
        <w:t>. alcímmel</w:t>
      </w:r>
      <w:r w:rsidRPr="008C3921">
        <w:rPr>
          <w:rFonts w:ascii="Times New Roman" w:hAnsi="Times New Roman"/>
          <w:sz w:val="24"/>
          <w:szCs w:val="24"/>
        </w:rPr>
        <w:t xml:space="preserve"> egészül ki:</w:t>
      </w:r>
    </w:p>
    <w:p w:rsidR="00430079" w:rsidRPr="008F620E" w:rsidRDefault="00E25516">
      <w:pPr>
        <w:pStyle w:val="Nincstrkz"/>
        <w:ind w:left="-284"/>
        <w:jc w:val="both"/>
        <w:rPr>
          <w:rFonts w:ascii="Times New Roman" w:hAnsi="Times New Roman"/>
          <w:sz w:val="24"/>
          <w:szCs w:val="24"/>
        </w:rPr>
      </w:pPr>
      <w:r>
        <w:rPr>
          <w:rFonts w:ascii="Times New Roman" w:hAnsi="Times New Roman"/>
          <w:sz w:val="24"/>
          <w:szCs w:val="24"/>
        </w:rPr>
        <w:t>„</w:t>
      </w:r>
      <w:r w:rsidR="005535B2">
        <w:rPr>
          <w:rFonts w:ascii="Times New Roman" w:hAnsi="Times New Roman"/>
          <w:sz w:val="24"/>
          <w:szCs w:val="24"/>
        </w:rPr>
        <w:t>53</w:t>
      </w:r>
      <w:r>
        <w:rPr>
          <w:rFonts w:ascii="Times New Roman" w:hAnsi="Times New Roman"/>
          <w:sz w:val="24"/>
          <w:szCs w:val="24"/>
        </w:rPr>
        <w:t>/A</w:t>
      </w:r>
      <w:r w:rsidR="005535B2">
        <w:rPr>
          <w:rFonts w:ascii="Times New Roman" w:hAnsi="Times New Roman"/>
          <w:sz w:val="24"/>
          <w:szCs w:val="24"/>
        </w:rPr>
        <w:t xml:space="preserve">. </w:t>
      </w:r>
      <w:r w:rsidR="009D5033" w:rsidRPr="008F620E">
        <w:rPr>
          <w:rFonts w:ascii="Times New Roman" w:hAnsi="Times New Roman"/>
          <w:sz w:val="24"/>
          <w:szCs w:val="24"/>
        </w:rPr>
        <w:t>Közmű és hírközlési terület</w:t>
      </w:r>
    </w:p>
    <w:p w:rsidR="00430079" w:rsidRDefault="009D5033">
      <w:pPr>
        <w:pStyle w:val="Nincstrkz"/>
        <w:ind w:left="-284"/>
        <w:jc w:val="both"/>
        <w:rPr>
          <w:rFonts w:ascii="Times New Roman" w:hAnsi="Times New Roman"/>
          <w:sz w:val="24"/>
          <w:szCs w:val="24"/>
        </w:rPr>
      </w:pPr>
      <w:r w:rsidRPr="008F620E">
        <w:rPr>
          <w:rFonts w:ascii="Times New Roman" w:hAnsi="Times New Roman"/>
          <w:sz w:val="24"/>
          <w:szCs w:val="24"/>
        </w:rPr>
        <w:t xml:space="preserve">53/A.§ </w:t>
      </w:r>
      <w:proofErr w:type="spellStart"/>
      <w:r w:rsidRPr="008F620E">
        <w:rPr>
          <w:rFonts w:ascii="Times New Roman" w:hAnsi="Times New Roman"/>
          <w:sz w:val="24"/>
          <w:szCs w:val="24"/>
        </w:rPr>
        <w:t>A</w:t>
      </w:r>
      <w:proofErr w:type="spellEnd"/>
      <w:r w:rsidRPr="008F620E">
        <w:rPr>
          <w:rFonts w:ascii="Times New Roman" w:hAnsi="Times New Roman"/>
          <w:sz w:val="24"/>
          <w:szCs w:val="24"/>
        </w:rPr>
        <w:t xml:space="preserve"> </w:t>
      </w:r>
      <w:proofErr w:type="spellStart"/>
      <w:r w:rsidRPr="008F620E">
        <w:rPr>
          <w:rFonts w:ascii="Times New Roman" w:hAnsi="Times New Roman"/>
          <w:sz w:val="24"/>
          <w:szCs w:val="24"/>
        </w:rPr>
        <w:t>Hk</w:t>
      </w:r>
      <w:proofErr w:type="spellEnd"/>
      <w:r w:rsidRPr="008F620E">
        <w:rPr>
          <w:rFonts w:ascii="Times New Roman" w:hAnsi="Times New Roman"/>
          <w:sz w:val="24"/>
          <w:szCs w:val="24"/>
        </w:rPr>
        <w:t xml:space="preserve"> jelű hírközlési területben egy vagy több épületben az OTÉK szerinti rendeltetések helyezhetők el.”</w:t>
      </w:r>
    </w:p>
    <w:p w:rsidR="005535B2" w:rsidRPr="008C3921" w:rsidRDefault="005535B2" w:rsidP="00B141A5">
      <w:pPr>
        <w:pStyle w:val="jnorml"/>
        <w:spacing w:line="240" w:lineRule="auto"/>
        <w:ind w:left="-284"/>
        <w:rPr>
          <w:shd w:val="clear" w:color="auto" w:fill="FFFFFF"/>
        </w:rPr>
      </w:pPr>
    </w:p>
    <w:p w:rsidR="00543E52" w:rsidRPr="008C3921" w:rsidRDefault="00270AF6" w:rsidP="00B141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w:t>
      </w:r>
      <w:r w:rsidR="007D7C37">
        <w:rPr>
          <w:rFonts w:ascii="Times New Roman" w:hAnsi="Times New Roman" w:cs="Times New Roman"/>
          <w:b/>
          <w:sz w:val="24"/>
          <w:szCs w:val="24"/>
        </w:rPr>
        <w:t>9</w:t>
      </w:r>
      <w:r w:rsidR="00543E52" w:rsidRPr="008C3921">
        <w:rPr>
          <w:rFonts w:ascii="Times New Roman" w:hAnsi="Times New Roman" w:cs="Times New Roman"/>
          <w:b/>
          <w:sz w:val="24"/>
          <w:szCs w:val="24"/>
        </w:rPr>
        <w:t>.§</w:t>
      </w:r>
    </w:p>
    <w:p w:rsidR="00543E52" w:rsidRPr="008C3921" w:rsidRDefault="00543E52" w:rsidP="00B141A5">
      <w:pPr>
        <w:spacing w:after="0" w:line="240" w:lineRule="auto"/>
        <w:rPr>
          <w:rFonts w:ascii="Times New Roman" w:hAnsi="Times New Roman" w:cs="Times New Roman"/>
          <w:sz w:val="24"/>
          <w:szCs w:val="24"/>
        </w:rPr>
      </w:pPr>
    </w:p>
    <w:p w:rsidR="00430079" w:rsidRDefault="00543E52">
      <w:pPr>
        <w:pStyle w:val="Nincstrkz"/>
        <w:ind w:left="-284"/>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58</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3) bekezdéss</w:t>
      </w:r>
      <w:r w:rsidRPr="008C3921">
        <w:rPr>
          <w:rFonts w:ascii="Times New Roman" w:hAnsi="Times New Roman"/>
          <w:sz w:val="24"/>
          <w:szCs w:val="24"/>
        </w:rPr>
        <w:t>el egészül ki:</w:t>
      </w:r>
    </w:p>
    <w:p w:rsidR="00BF252B" w:rsidRDefault="00842BC8" w:rsidP="00B141A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w:t>
      </w:r>
      <w:r w:rsidR="00543E52">
        <w:rPr>
          <w:rFonts w:ascii="Times New Roman" w:hAnsi="Times New Roman" w:cs="Times New Roman"/>
          <w:sz w:val="24"/>
          <w:szCs w:val="24"/>
        </w:rPr>
        <w:t xml:space="preserve">(3) Az </w:t>
      </w:r>
      <w:proofErr w:type="spellStart"/>
      <w:r w:rsidR="00543E52">
        <w:rPr>
          <w:rFonts w:ascii="Times New Roman" w:hAnsi="Times New Roman" w:cs="Times New Roman"/>
          <w:sz w:val="24"/>
          <w:szCs w:val="24"/>
        </w:rPr>
        <w:t>Eg-K</w:t>
      </w:r>
      <w:proofErr w:type="spellEnd"/>
      <w:r w:rsidR="00543E52">
        <w:rPr>
          <w:rFonts w:ascii="Times New Roman" w:hAnsi="Times New Roman" w:cs="Times New Roman"/>
          <w:sz w:val="24"/>
          <w:szCs w:val="24"/>
        </w:rPr>
        <w:t xml:space="preserve"> övezetben a beépítési táblázat szerinti kialakult állapot (K) esetén:</w:t>
      </w:r>
    </w:p>
    <w:p w:rsidR="00543E52" w:rsidRDefault="00543E52" w:rsidP="00B141A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beépítési mód: Beépített telek esetén a telken belül meglévő beépítési módot kell figyelembe venni. Beépítetlen telek esetén </w:t>
      </w:r>
      <w:r w:rsidR="008D5BFF">
        <w:rPr>
          <w:rFonts w:ascii="Times New Roman" w:hAnsi="Times New Roman" w:cs="Times New Roman"/>
          <w:sz w:val="24"/>
          <w:szCs w:val="24"/>
        </w:rPr>
        <w:t>a tervezett épületeket szabadon álló módon kell elhelyezni.</w:t>
      </w:r>
    </w:p>
    <w:p w:rsidR="00543E52" w:rsidRDefault="00543E52" w:rsidP="00B141A5">
      <w:pPr>
        <w:spacing w:after="0" w:line="240" w:lineRule="auto"/>
        <w:ind w:left="-284"/>
        <w:jc w:val="both"/>
        <w:rPr>
          <w:rFonts w:ascii="Times New Roman" w:hAnsi="Times New Roman" w:cs="Times New Roman"/>
          <w:sz w:val="24"/>
          <w:szCs w:val="24"/>
        </w:rPr>
      </w:pPr>
      <w:r>
        <w:rPr>
          <w:rFonts w:ascii="Times New Roman" w:hAnsi="Times New Roman" w:cs="Times New Roman"/>
          <w:sz w:val="24"/>
          <w:szCs w:val="24"/>
        </w:rPr>
        <w:tab/>
        <w:t xml:space="preserve">b) megengedett legnagyobb beépítettség: A telken belüli kialakult legnagyobb beépítettség </w:t>
      </w:r>
      <w:r w:rsidR="008D5BFF">
        <w:rPr>
          <w:rFonts w:ascii="Times New Roman" w:hAnsi="Times New Roman" w:cs="Times New Roman"/>
          <w:sz w:val="24"/>
          <w:szCs w:val="24"/>
        </w:rPr>
        <w:t>megtartható</w:t>
      </w:r>
      <w:r>
        <w:rPr>
          <w:rFonts w:ascii="Times New Roman" w:hAnsi="Times New Roman" w:cs="Times New Roman"/>
          <w:sz w:val="24"/>
          <w:szCs w:val="24"/>
        </w:rPr>
        <w:t>. Új építés, vagy épületbővítés esetén a táblázatban szereplő zárójeles értéket kell figyelembe venni.</w:t>
      </w:r>
      <w:r w:rsidR="00842BC8">
        <w:rPr>
          <w:rFonts w:ascii="Times New Roman" w:hAnsi="Times New Roman" w:cs="Times New Roman"/>
          <w:sz w:val="24"/>
          <w:szCs w:val="24"/>
        </w:rPr>
        <w:t>”</w:t>
      </w:r>
    </w:p>
    <w:p w:rsidR="005535B2" w:rsidRPr="008C3921" w:rsidRDefault="005535B2" w:rsidP="00B141A5">
      <w:pPr>
        <w:spacing w:after="0" w:line="240" w:lineRule="auto"/>
        <w:ind w:left="-284"/>
        <w:jc w:val="both"/>
        <w:rPr>
          <w:rFonts w:ascii="Times New Roman" w:hAnsi="Times New Roman" w:cs="Times New Roman"/>
          <w:sz w:val="24"/>
          <w:szCs w:val="24"/>
        </w:rPr>
      </w:pPr>
    </w:p>
    <w:p w:rsidR="00816DED" w:rsidRPr="008C3921" w:rsidRDefault="007D7C37" w:rsidP="00B141A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w:t>
      </w:r>
      <w:r w:rsidR="00816DED" w:rsidRPr="008C3921">
        <w:rPr>
          <w:rFonts w:ascii="Times New Roman" w:hAnsi="Times New Roman" w:cs="Times New Roman"/>
          <w:b/>
          <w:sz w:val="24"/>
          <w:szCs w:val="24"/>
        </w:rPr>
        <w:t>.§</w:t>
      </w:r>
    </w:p>
    <w:p w:rsidR="00816DED" w:rsidRPr="008C3921" w:rsidRDefault="00816DED" w:rsidP="00816DED">
      <w:pPr>
        <w:spacing w:after="0" w:line="240" w:lineRule="auto"/>
        <w:rPr>
          <w:rFonts w:ascii="Times New Roman" w:hAnsi="Times New Roman" w:cs="Times New Roman"/>
          <w:sz w:val="24"/>
          <w:szCs w:val="24"/>
        </w:rPr>
      </w:pPr>
    </w:p>
    <w:p w:rsidR="00816DED" w:rsidRDefault="00816DED" w:rsidP="00816DED">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60</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4)-(7) bekezdés</w:t>
      </w:r>
      <w:r w:rsidR="003C0699">
        <w:rPr>
          <w:rFonts w:ascii="Times New Roman" w:hAnsi="Times New Roman"/>
          <w:sz w:val="24"/>
          <w:szCs w:val="24"/>
        </w:rPr>
        <w:t>sel</w:t>
      </w:r>
      <w:r w:rsidRPr="008C3921">
        <w:rPr>
          <w:rFonts w:ascii="Times New Roman" w:hAnsi="Times New Roman"/>
          <w:sz w:val="24"/>
          <w:szCs w:val="24"/>
        </w:rPr>
        <w:t xml:space="preserve"> egészül ki:</w:t>
      </w:r>
    </w:p>
    <w:p w:rsidR="00816DED" w:rsidRPr="00816DED" w:rsidRDefault="00842BC8" w:rsidP="00270AF6">
      <w:pPr>
        <w:pStyle w:val="jnorml"/>
        <w:spacing w:line="240" w:lineRule="auto"/>
        <w:ind w:left="-142"/>
        <w:rPr>
          <w:shd w:val="clear" w:color="auto" w:fill="FFFFFF"/>
        </w:rPr>
      </w:pPr>
      <w:r>
        <w:rPr>
          <w:shd w:val="clear" w:color="auto" w:fill="FFFFFF"/>
        </w:rPr>
        <w:t>„</w:t>
      </w:r>
      <w:r w:rsidR="00816DED" w:rsidRPr="00816DED">
        <w:rPr>
          <w:shd w:val="clear" w:color="auto" w:fill="FFFFFF"/>
        </w:rPr>
        <w:t>(4) Amennyiben az övezeti előírások szerint az illeszkedés szabályait kell figyelembe venni, akkor az illeszkedés meghatározásához a tömbön belül az azonos övezetbe tartozó telkek beépítési sajátosságait kell figyelembe venni.</w:t>
      </w:r>
    </w:p>
    <w:p w:rsidR="00816DED" w:rsidRPr="00816DED" w:rsidRDefault="00816DED" w:rsidP="00270AF6">
      <w:pPr>
        <w:pStyle w:val="jnorml"/>
        <w:spacing w:line="240" w:lineRule="auto"/>
        <w:ind w:left="-142"/>
        <w:rPr>
          <w:shd w:val="clear" w:color="auto" w:fill="FFFFFF"/>
        </w:rPr>
      </w:pPr>
      <w:r w:rsidRPr="00816DED">
        <w:rPr>
          <w:shd w:val="clear" w:color="auto" w:fill="FFFFFF"/>
        </w:rPr>
        <w:lastRenderedPageBreak/>
        <w:t>(5) Ahol a meglévő épület részben vagy egészben a telekre meghatározott építési helyen kívül áll, ott a meglévő épület felújítható, korszerűsíthető. Ezen épületek bővítése csak az övezetre előírt építési helyen belül lehetséges.</w:t>
      </w:r>
    </w:p>
    <w:p w:rsidR="00430079" w:rsidRDefault="00A91E81">
      <w:pPr>
        <w:pStyle w:val="jnorml"/>
        <w:spacing w:line="240" w:lineRule="auto"/>
        <w:ind w:left="-142"/>
        <w:rPr>
          <w:shd w:val="clear" w:color="auto" w:fill="FFFFFF"/>
        </w:rPr>
      </w:pPr>
      <w:r w:rsidRPr="00816DED" w:rsidDel="00A91E81">
        <w:rPr>
          <w:shd w:val="clear" w:color="auto" w:fill="FFFFFF"/>
        </w:rPr>
        <w:t xml:space="preserve"> </w:t>
      </w:r>
      <w:r w:rsidR="00816DED" w:rsidRPr="00816DED">
        <w:rPr>
          <w:shd w:val="clear" w:color="auto" w:fill="FFFFFF"/>
        </w:rPr>
        <w:t>(</w:t>
      </w:r>
      <w:r>
        <w:rPr>
          <w:shd w:val="clear" w:color="auto" w:fill="FFFFFF"/>
        </w:rPr>
        <w:t>6</w:t>
      </w:r>
      <w:r w:rsidR="00816DED" w:rsidRPr="00816DED">
        <w:rPr>
          <w:shd w:val="clear" w:color="auto" w:fill="FFFFFF"/>
        </w:rPr>
        <w:t>) Meglévő épület rendeltetése akkor módosítható, ha a tervezett rendeltetés az adott telken - az általános építésügyi szabályok és a helyi építési szabályzat előírásainak megfelelően - megépíthető lenne.</w:t>
      </w:r>
      <w:r w:rsidR="00842BC8">
        <w:rPr>
          <w:shd w:val="clear" w:color="auto" w:fill="FFFFFF"/>
        </w:rPr>
        <w:t>”</w:t>
      </w:r>
    </w:p>
    <w:p w:rsidR="004250F1" w:rsidRDefault="004250F1">
      <w:pPr>
        <w:pStyle w:val="jnorml"/>
        <w:spacing w:line="240" w:lineRule="auto"/>
        <w:ind w:left="-142"/>
        <w:rPr>
          <w:shd w:val="clear" w:color="auto" w:fill="FFFFFF"/>
        </w:rPr>
      </w:pPr>
    </w:p>
    <w:p w:rsidR="004250F1" w:rsidRPr="008C3921" w:rsidRDefault="007D7C37" w:rsidP="004250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004250F1" w:rsidRPr="008C3921">
        <w:rPr>
          <w:rFonts w:ascii="Times New Roman" w:hAnsi="Times New Roman" w:cs="Times New Roman"/>
          <w:b/>
          <w:sz w:val="24"/>
          <w:szCs w:val="24"/>
        </w:rPr>
        <w:t>.§</w:t>
      </w:r>
    </w:p>
    <w:p w:rsidR="004250F1" w:rsidRPr="008C3921" w:rsidRDefault="004250F1" w:rsidP="004250F1">
      <w:pPr>
        <w:spacing w:after="0" w:line="240" w:lineRule="auto"/>
        <w:rPr>
          <w:rFonts w:ascii="Times New Roman" w:hAnsi="Times New Roman" w:cs="Times New Roman"/>
          <w:sz w:val="24"/>
          <w:szCs w:val="24"/>
        </w:rPr>
      </w:pPr>
    </w:p>
    <w:p w:rsidR="004250F1" w:rsidRDefault="004250F1" w:rsidP="004250F1">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61</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8) bekezdéssel</w:t>
      </w:r>
      <w:r w:rsidRPr="008C3921">
        <w:rPr>
          <w:rFonts w:ascii="Times New Roman" w:hAnsi="Times New Roman"/>
          <w:sz w:val="24"/>
          <w:szCs w:val="24"/>
        </w:rPr>
        <w:t xml:space="preserve"> egészül ki:</w:t>
      </w:r>
    </w:p>
    <w:p w:rsidR="004250F1" w:rsidRPr="004250F1" w:rsidRDefault="004250F1" w:rsidP="004250F1">
      <w:pPr>
        <w:pStyle w:val="jnorml"/>
        <w:spacing w:line="240" w:lineRule="auto"/>
        <w:ind w:left="-142"/>
        <w:rPr>
          <w:shd w:val="clear" w:color="auto" w:fill="FFFFFF"/>
        </w:rPr>
      </w:pPr>
      <w:r>
        <w:rPr>
          <w:shd w:val="clear" w:color="auto" w:fill="FFFFFF"/>
        </w:rPr>
        <w:t>„</w:t>
      </w:r>
      <w:r w:rsidRPr="00816DED">
        <w:rPr>
          <w:shd w:val="clear" w:color="auto" w:fill="FFFFFF"/>
        </w:rPr>
        <w:t>(</w:t>
      </w:r>
      <w:r>
        <w:t>8</w:t>
      </w:r>
      <w:r w:rsidRPr="00816DED">
        <w:t xml:space="preserve">) </w:t>
      </w:r>
      <w:r w:rsidR="00884B88">
        <w:t>Általános m</w:t>
      </w:r>
      <w:r w:rsidRPr="00816DED">
        <w:t xml:space="preserve">ezőgazdasági területeken telekalakítás esetén a telekszélesség legalább </w:t>
      </w:r>
      <w:r>
        <w:t>20</w:t>
      </w:r>
      <w:r w:rsidRPr="00816DED">
        <w:t xml:space="preserve"> m, a telekterület legalább </w:t>
      </w:r>
      <w:r>
        <w:t>3000</w:t>
      </w:r>
      <w:r w:rsidRPr="00816DED">
        <w:t xml:space="preserve"> m</w:t>
      </w:r>
      <w:r w:rsidRPr="009D5033">
        <w:rPr>
          <w:vertAlign w:val="superscript"/>
        </w:rPr>
        <w:t>2</w:t>
      </w:r>
      <w:r w:rsidRPr="00816DED">
        <w:t xml:space="preserve"> legyen.</w:t>
      </w:r>
      <w:r w:rsidRPr="004250F1">
        <w:t xml:space="preserve"> </w:t>
      </w:r>
      <w:r>
        <w:t>”</w:t>
      </w:r>
    </w:p>
    <w:p w:rsidR="007F78E9" w:rsidRDefault="007F78E9" w:rsidP="008319E7">
      <w:pPr>
        <w:spacing w:after="0" w:line="240" w:lineRule="auto"/>
        <w:jc w:val="both"/>
        <w:rPr>
          <w:rFonts w:ascii="Times New Roman" w:hAnsi="Times New Roman" w:cs="Times New Roman"/>
          <w:b/>
          <w:sz w:val="24"/>
          <w:szCs w:val="24"/>
        </w:rPr>
      </w:pPr>
    </w:p>
    <w:p w:rsidR="004250F1" w:rsidRPr="008C3921" w:rsidRDefault="007D7C37" w:rsidP="004250F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22</w:t>
      </w:r>
      <w:r w:rsidR="004250F1" w:rsidRPr="008C3921">
        <w:rPr>
          <w:rFonts w:ascii="Times New Roman" w:hAnsi="Times New Roman" w:cs="Times New Roman"/>
          <w:b/>
          <w:sz w:val="24"/>
          <w:szCs w:val="24"/>
        </w:rPr>
        <w:t>.§</w:t>
      </w:r>
    </w:p>
    <w:p w:rsidR="004250F1" w:rsidRPr="008C3921" w:rsidRDefault="004250F1" w:rsidP="004250F1">
      <w:pPr>
        <w:spacing w:after="0" w:line="240" w:lineRule="auto"/>
        <w:rPr>
          <w:rFonts w:ascii="Times New Roman" w:hAnsi="Times New Roman" w:cs="Times New Roman"/>
          <w:sz w:val="24"/>
          <w:szCs w:val="24"/>
        </w:rPr>
      </w:pPr>
    </w:p>
    <w:p w:rsidR="004250F1" w:rsidRDefault="004250F1" w:rsidP="004250F1">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62</w:t>
      </w:r>
      <w:r w:rsidRPr="008C3921">
        <w:rPr>
          <w:rFonts w:ascii="Times New Roman" w:hAnsi="Times New Roman"/>
          <w:sz w:val="24"/>
          <w:szCs w:val="24"/>
        </w:rPr>
        <w:t>.§</w:t>
      </w:r>
      <w:proofErr w:type="spellStart"/>
      <w:r w:rsidRPr="008C3921">
        <w:rPr>
          <w:rFonts w:ascii="Times New Roman" w:hAnsi="Times New Roman"/>
          <w:sz w:val="24"/>
          <w:szCs w:val="24"/>
        </w:rPr>
        <w:t>-</w:t>
      </w:r>
      <w:proofErr w:type="gramStart"/>
      <w:r w:rsidRPr="008C3921">
        <w:rPr>
          <w:rFonts w:ascii="Times New Roman" w:hAnsi="Times New Roman"/>
          <w:sz w:val="24"/>
          <w:szCs w:val="24"/>
        </w:rPr>
        <w:t>a</w:t>
      </w:r>
      <w:proofErr w:type="spellEnd"/>
      <w:proofErr w:type="gramEnd"/>
      <w:r w:rsidRPr="008C3921">
        <w:rPr>
          <w:rFonts w:ascii="Times New Roman" w:hAnsi="Times New Roman"/>
          <w:sz w:val="24"/>
          <w:szCs w:val="24"/>
        </w:rPr>
        <w:t xml:space="preserve"> a következő (</w:t>
      </w:r>
      <w:r>
        <w:rPr>
          <w:rFonts w:ascii="Times New Roman" w:hAnsi="Times New Roman"/>
          <w:sz w:val="24"/>
          <w:szCs w:val="24"/>
        </w:rPr>
        <w:t>10) bekezdéssel</w:t>
      </w:r>
      <w:r w:rsidRPr="008C3921">
        <w:rPr>
          <w:rFonts w:ascii="Times New Roman" w:hAnsi="Times New Roman"/>
          <w:sz w:val="24"/>
          <w:szCs w:val="24"/>
        </w:rPr>
        <w:t xml:space="preserve"> egészül ki:</w:t>
      </w:r>
    </w:p>
    <w:p w:rsidR="004250F1" w:rsidRPr="008319E7" w:rsidRDefault="004250F1" w:rsidP="004250F1">
      <w:pPr>
        <w:pStyle w:val="jnorml"/>
        <w:spacing w:line="240" w:lineRule="auto"/>
        <w:ind w:left="-142"/>
        <w:rPr>
          <w:shd w:val="clear" w:color="auto" w:fill="FFFFFF"/>
        </w:rPr>
      </w:pPr>
      <w:r>
        <w:rPr>
          <w:shd w:val="clear" w:color="auto" w:fill="FFFFFF"/>
        </w:rPr>
        <w:t>„</w:t>
      </w:r>
      <w:r w:rsidRPr="00816DED">
        <w:rPr>
          <w:shd w:val="clear" w:color="auto" w:fill="FFFFFF"/>
        </w:rPr>
        <w:t>(</w:t>
      </w:r>
      <w:r>
        <w:t>10</w:t>
      </w:r>
      <w:r w:rsidRPr="00816DED">
        <w:t xml:space="preserve">) </w:t>
      </w:r>
      <w:r>
        <w:t>Kertes m</w:t>
      </w:r>
      <w:r w:rsidRPr="00816DED">
        <w:t xml:space="preserve">ezőgazdasági területeken telekalakítás esetén a telekszélesség legalább 12 m, a telekterület legalább </w:t>
      </w:r>
      <w:r>
        <w:t>720</w:t>
      </w:r>
      <w:r w:rsidRPr="00816DED">
        <w:t xml:space="preserve"> m</w:t>
      </w:r>
      <w:r w:rsidRPr="009D5033">
        <w:rPr>
          <w:vertAlign w:val="superscript"/>
        </w:rPr>
        <w:t>2</w:t>
      </w:r>
      <w:r w:rsidRPr="00816DED">
        <w:t xml:space="preserve"> legyen.</w:t>
      </w:r>
      <w:r w:rsidRPr="004250F1">
        <w:t xml:space="preserve"> </w:t>
      </w:r>
      <w:r>
        <w:t>”</w:t>
      </w:r>
    </w:p>
    <w:p w:rsidR="00BF252B" w:rsidRPr="008C3921" w:rsidRDefault="00BF252B" w:rsidP="00816DED">
      <w:pPr>
        <w:spacing w:after="0" w:line="240" w:lineRule="auto"/>
        <w:ind w:left="-284"/>
        <w:jc w:val="both"/>
        <w:rPr>
          <w:rFonts w:ascii="Times New Roman" w:hAnsi="Times New Roman" w:cs="Times New Roman"/>
          <w:sz w:val="24"/>
          <w:szCs w:val="24"/>
        </w:rPr>
      </w:pPr>
    </w:p>
    <w:p w:rsidR="00051F87" w:rsidRPr="008C3921" w:rsidRDefault="007D7C37" w:rsidP="00051F8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23</w:t>
      </w:r>
      <w:r w:rsidR="00051F87" w:rsidRPr="008C3921">
        <w:rPr>
          <w:rFonts w:ascii="Times New Roman" w:hAnsi="Times New Roman" w:cs="Times New Roman"/>
          <w:b/>
          <w:sz w:val="24"/>
          <w:szCs w:val="24"/>
        </w:rPr>
        <w:t>.§</w:t>
      </w:r>
    </w:p>
    <w:p w:rsidR="00051F87" w:rsidRPr="008C3921" w:rsidRDefault="00051F87" w:rsidP="00051F87">
      <w:pPr>
        <w:spacing w:after="0" w:line="240" w:lineRule="auto"/>
        <w:rPr>
          <w:rFonts w:ascii="Times New Roman" w:hAnsi="Times New Roman" w:cs="Times New Roman"/>
          <w:sz w:val="24"/>
          <w:szCs w:val="24"/>
        </w:rPr>
      </w:pPr>
    </w:p>
    <w:p w:rsidR="00051F87" w:rsidRDefault="00051F87" w:rsidP="00051F87">
      <w:pPr>
        <w:pStyle w:val="Nincstrkz"/>
        <w:ind w:left="-284" w:right="-425"/>
        <w:jc w:val="both"/>
        <w:rPr>
          <w:rFonts w:ascii="Times New Roman" w:hAnsi="Times New Roman"/>
          <w:sz w:val="24"/>
          <w:szCs w:val="24"/>
        </w:rPr>
      </w:pPr>
      <w:r w:rsidRPr="008C3921">
        <w:rPr>
          <w:rFonts w:ascii="Times New Roman" w:hAnsi="Times New Roman"/>
          <w:sz w:val="24"/>
          <w:szCs w:val="24"/>
        </w:rPr>
        <w:t xml:space="preserve">A Rendelet </w:t>
      </w:r>
      <w:r>
        <w:rPr>
          <w:rFonts w:ascii="Times New Roman" w:hAnsi="Times New Roman"/>
          <w:sz w:val="24"/>
          <w:szCs w:val="24"/>
        </w:rPr>
        <w:t>86.§ (2) bekezdése</w:t>
      </w:r>
      <w:r w:rsidRPr="008C3921">
        <w:rPr>
          <w:rFonts w:ascii="Times New Roman" w:hAnsi="Times New Roman"/>
          <w:sz w:val="24"/>
          <w:szCs w:val="24"/>
        </w:rPr>
        <w:t xml:space="preserve"> a következő </w:t>
      </w:r>
      <w:r>
        <w:rPr>
          <w:rFonts w:ascii="Times New Roman" w:hAnsi="Times New Roman"/>
          <w:sz w:val="24"/>
          <w:szCs w:val="24"/>
        </w:rPr>
        <w:t xml:space="preserve">d) ponttal </w:t>
      </w:r>
      <w:r w:rsidRPr="008C3921">
        <w:rPr>
          <w:rFonts w:ascii="Times New Roman" w:hAnsi="Times New Roman"/>
          <w:sz w:val="24"/>
          <w:szCs w:val="24"/>
        </w:rPr>
        <w:t>egészül ki:</w:t>
      </w:r>
    </w:p>
    <w:p w:rsidR="00B141A5" w:rsidRDefault="00842BC8" w:rsidP="006061C5">
      <w:pPr>
        <w:pStyle w:val="Nincstrkz"/>
        <w:ind w:right="-425"/>
        <w:jc w:val="both"/>
        <w:rPr>
          <w:rFonts w:ascii="Times New Roman" w:hAnsi="Times New Roman"/>
          <w:sz w:val="24"/>
          <w:szCs w:val="24"/>
        </w:rPr>
      </w:pPr>
      <w:r>
        <w:rPr>
          <w:rFonts w:ascii="Times New Roman" w:hAnsi="Times New Roman"/>
          <w:sz w:val="24"/>
          <w:szCs w:val="24"/>
        </w:rPr>
        <w:t>„</w:t>
      </w:r>
      <w:r w:rsidR="00A10E75">
        <w:rPr>
          <w:rFonts w:ascii="Times New Roman" w:hAnsi="Times New Roman"/>
          <w:sz w:val="24"/>
          <w:szCs w:val="24"/>
        </w:rPr>
        <w:t>d) a telek területét megközelítő, burkolt gépjárműbehajtó létesíthető.</w:t>
      </w:r>
      <w:r>
        <w:rPr>
          <w:rFonts w:ascii="Times New Roman" w:hAnsi="Times New Roman"/>
          <w:sz w:val="24"/>
          <w:szCs w:val="24"/>
        </w:rPr>
        <w:t>”</w:t>
      </w:r>
    </w:p>
    <w:p w:rsidR="00B141A5" w:rsidRDefault="00B141A5" w:rsidP="006061C5">
      <w:pPr>
        <w:pStyle w:val="Nincstrkz"/>
        <w:ind w:right="-425"/>
        <w:jc w:val="both"/>
        <w:rPr>
          <w:rFonts w:ascii="Times New Roman" w:hAnsi="Times New Roman"/>
          <w:sz w:val="24"/>
          <w:szCs w:val="24"/>
        </w:rPr>
      </w:pPr>
    </w:p>
    <w:p w:rsidR="00430079" w:rsidRDefault="007D7C37">
      <w:pPr>
        <w:autoSpaceDE w:val="0"/>
        <w:autoSpaceDN w:val="0"/>
        <w:adjustRightInd w:val="0"/>
        <w:spacing w:after="0" w:line="240" w:lineRule="auto"/>
        <w:ind w:right="141"/>
        <w:jc w:val="center"/>
        <w:rPr>
          <w:rFonts w:ascii="Times New Roman" w:hAnsi="Times New Roman"/>
          <w:b/>
          <w:sz w:val="24"/>
          <w:szCs w:val="24"/>
        </w:rPr>
      </w:pPr>
      <w:r>
        <w:rPr>
          <w:rFonts w:ascii="Times New Roman" w:hAnsi="Times New Roman" w:cs="Times New Roman"/>
          <w:b/>
          <w:sz w:val="24"/>
          <w:szCs w:val="24"/>
        </w:rPr>
        <w:t>24</w:t>
      </w:r>
      <w:r w:rsidR="009D5033" w:rsidRPr="009D5033">
        <w:rPr>
          <w:rFonts w:ascii="Times New Roman" w:hAnsi="Times New Roman" w:cs="Times New Roman"/>
          <w:b/>
          <w:sz w:val="24"/>
          <w:szCs w:val="24"/>
        </w:rPr>
        <w:t>. §</w:t>
      </w:r>
    </w:p>
    <w:p w:rsidR="00430079" w:rsidRDefault="00430079">
      <w:pPr>
        <w:pStyle w:val="Nincstrkz"/>
        <w:ind w:right="141"/>
        <w:jc w:val="center"/>
        <w:rPr>
          <w:rFonts w:ascii="Times New Roman" w:hAnsi="Times New Roman"/>
          <w:b/>
          <w:bCs/>
          <w:sz w:val="24"/>
          <w:szCs w:val="24"/>
        </w:rPr>
      </w:pPr>
    </w:p>
    <w:p w:rsidR="00430079" w:rsidRDefault="004124BB">
      <w:pPr>
        <w:pStyle w:val="Nincstrkz"/>
        <w:ind w:left="-284" w:right="141"/>
        <w:jc w:val="both"/>
        <w:rPr>
          <w:rFonts w:ascii="Times New Roman" w:hAnsi="Times New Roman"/>
          <w:sz w:val="24"/>
          <w:szCs w:val="24"/>
        </w:rPr>
      </w:pPr>
      <w:r>
        <w:rPr>
          <w:rFonts w:ascii="Times New Roman" w:hAnsi="Times New Roman"/>
          <w:sz w:val="24"/>
          <w:szCs w:val="24"/>
        </w:rPr>
        <w:t xml:space="preserve">A </w:t>
      </w:r>
      <w:r w:rsidRPr="008C3921">
        <w:rPr>
          <w:rFonts w:ascii="Times New Roman" w:hAnsi="Times New Roman"/>
          <w:sz w:val="24"/>
          <w:szCs w:val="24"/>
        </w:rPr>
        <w:t xml:space="preserve">Rendelet </w:t>
      </w:r>
      <w:r>
        <w:rPr>
          <w:rFonts w:ascii="Times New Roman" w:hAnsi="Times New Roman"/>
          <w:sz w:val="24"/>
          <w:szCs w:val="24"/>
        </w:rPr>
        <w:t>62</w:t>
      </w:r>
      <w:r w:rsidRPr="008C3921">
        <w:rPr>
          <w:rFonts w:ascii="Times New Roman" w:hAnsi="Times New Roman"/>
          <w:sz w:val="24"/>
          <w:szCs w:val="24"/>
        </w:rPr>
        <w:t xml:space="preserve">.§ </w:t>
      </w:r>
      <w:r>
        <w:rPr>
          <w:rFonts w:ascii="Times New Roman" w:hAnsi="Times New Roman"/>
          <w:sz w:val="24"/>
          <w:szCs w:val="24"/>
        </w:rPr>
        <w:t>(7) bekezdés b</w:t>
      </w:r>
      <w:r w:rsidRPr="008C3921">
        <w:rPr>
          <w:rFonts w:ascii="Times New Roman" w:hAnsi="Times New Roman"/>
          <w:sz w:val="24"/>
          <w:szCs w:val="24"/>
        </w:rPr>
        <w:t>) pontj</w:t>
      </w:r>
      <w:r>
        <w:rPr>
          <w:rFonts w:ascii="Times New Roman" w:hAnsi="Times New Roman"/>
          <w:sz w:val="24"/>
          <w:szCs w:val="24"/>
        </w:rPr>
        <w:t xml:space="preserve">ában és </w:t>
      </w:r>
      <w:r w:rsidRPr="008C3921">
        <w:rPr>
          <w:rFonts w:ascii="Times New Roman" w:hAnsi="Times New Roman"/>
          <w:sz w:val="24"/>
          <w:szCs w:val="24"/>
        </w:rPr>
        <w:t xml:space="preserve">a </w:t>
      </w:r>
      <w:r>
        <w:rPr>
          <w:rFonts w:ascii="Times New Roman" w:hAnsi="Times New Roman"/>
          <w:sz w:val="24"/>
          <w:szCs w:val="24"/>
        </w:rPr>
        <w:t>62</w:t>
      </w:r>
      <w:r w:rsidRPr="008C3921">
        <w:rPr>
          <w:rFonts w:ascii="Times New Roman" w:hAnsi="Times New Roman"/>
          <w:sz w:val="24"/>
          <w:szCs w:val="24"/>
        </w:rPr>
        <w:t xml:space="preserve">.§ </w:t>
      </w:r>
      <w:r>
        <w:rPr>
          <w:rFonts w:ascii="Times New Roman" w:hAnsi="Times New Roman"/>
          <w:sz w:val="24"/>
          <w:szCs w:val="24"/>
        </w:rPr>
        <w:t>(9) bekezdés b</w:t>
      </w:r>
      <w:r w:rsidRPr="008C3921">
        <w:rPr>
          <w:rFonts w:ascii="Times New Roman" w:hAnsi="Times New Roman"/>
          <w:sz w:val="24"/>
          <w:szCs w:val="24"/>
        </w:rPr>
        <w:t>) pontj</w:t>
      </w:r>
      <w:r>
        <w:rPr>
          <w:rFonts w:ascii="Times New Roman" w:hAnsi="Times New Roman"/>
          <w:sz w:val="24"/>
          <w:szCs w:val="24"/>
        </w:rPr>
        <w:t>ában az „1500 m</w:t>
      </w:r>
      <w:r w:rsidR="009D5033" w:rsidRPr="009D5033">
        <w:rPr>
          <w:rFonts w:ascii="Times New Roman" w:hAnsi="Times New Roman"/>
          <w:sz w:val="24"/>
          <w:szCs w:val="24"/>
          <w:vertAlign w:val="superscript"/>
        </w:rPr>
        <w:t>2</w:t>
      </w:r>
      <w:r>
        <w:rPr>
          <w:rFonts w:ascii="Times New Roman" w:hAnsi="Times New Roman"/>
          <w:sz w:val="24"/>
          <w:szCs w:val="24"/>
        </w:rPr>
        <w:t>” szövegrész helyébe az „1000 m</w:t>
      </w:r>
      <w:r w:rsidR="009D5033" w:rsidRPr="009D5033">
        <w:rPr>
          <w:rFonts w:ascii="Times New Roman" w:hAnsi="Times New Roman"/>
          <w:sz w:val="24"/>
          <w:szCs w:val="24"/>
          <w:vertAlign w:val="superscript"/>
        </w:rPr>
        <w:t>2</w:t>
      </w:r>
      <w:r>
        <w:rPr>
          <w:rFonts w:ascii="Times New Roman" w:hAnsi="Times New Roman"/>
          <w:sz w:val="24"/>
          <w:szCs w:val="24"/>
        </w:rPr>
        <w:t xml:space="preserve">” szöveg lép. </w:t>
      </w:r>
      <w:r w:rsidRPr="008C3921">
        <w:rPr>
          <w:rFonts w:ascii="Times New Roman" w:hAnsi="Times New Roman"/>
          <w:sz w:val="24"/>
          <w:szCs w:val="24"/>
        </w:rPr>
        <w:t xml:space="preserve"> </w:t>
      </w:r>
    </w:p>
    <w:p w:rsidR="00430079" w:rsidRDefault="00430079">
      <w:pPr>
        <w:spacing w:after="0" w:line="240" w:lineRule="auto"/>
        <w:ind w:right="141"/>
        <w:rPr>
          <w:rFonts w:ascii="Times New Roman" w:hAnsi="Times New Roman" w:cs="Times New Roman"/>
          <w:sz w:val="24"/>
          <w:szCs w:val="24"/>
        </w:rPr>
      </w:pPr>
    </w:p>
    <w:p w:rsidR="00430079" w:rsidRDefault="007D7C37">
      <w:pPr>
        <w:autoSpaceDE w:val="0"/>
        <w:autoSpaceDN w:val="0"/>
        <w:adjustRightInd w:val="0"/>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25</w:t>
      </w:r>
      <w:r w:rsidR="00BF252B" w:rsidRPr="008C3921">
        <w:rPr>
          <w:rFonts w:ascii="Times New Roman" w:hAnsi="Times New Roman" w:cs="Times New Roman"/>
          <w:b/>
          <w:sz w:val="24"/>
          <w:szCs w:val="24"/>
        </w:rPr>
        <w:t xml:space="preserve">. § </w:t>
      </w:r>
    </w:p>
    <w:p w:rsidR="00430079" w:rsidRDefault="00430079">
      <w:pPr>
        <w:autoSpaceDE w:val="0"/>
        <w:autoSpaceDN w:val="0"/>
        <w:adjustRightInd w:val="0"/>
        <w:spacing w:after="0" w:line="240" w:lineRule="auto"/>
        <w:ind w:right="141"/>
        <w:jc w:val="center"/>
        <w:rPr>
          <w:rFonts w:ascii="Times New Roman" w:hAnsi="Times New Roman" w:cs="Times New Roman"/>
          <w:b/>
          <w:sz w:val="24"/>
          <w:szCs w:val="24"/>
        </w:rPr>
      </w:pPr>
    </w:p>
    <w:p w:rsidR="00430079" w:rsidRDefault="00270AF6">
      <w:pPr>
        <w:pStyle w:val="Nincstrkz"/>
        <w:ind w:left="-284" w:right="141"/>
        <w:jc w:val="both"/>
        <w:rPr>
          <w:rFonts w:ascii="Times New Roman" w:hAnsi="Times New Roman"/>
          <w:sz w:val="24"/>
          <w:szCs w:val="24"/>
        </w:rPr>
      </w:pPr>
      <w:r>
        <w:rPr>
          <w:rFonts w:ascii="Times New Roman" w:hAnsi="Times New Roman"/>
          <w:sz w:val="24"/>
          <w:szCs w:val="24"/>
        </w:rPr>
        <w:t>Hatályát veszti a</w:t>
      </w:r>
      <w:r w:rsidR="00BF252B" w:rsidRPr="008C3921">
        <w:rPr>
          <w:rFonts w:ascii="Times New Roman" w:hAnsi="Times New Roman"/>
          <w:sz w:val="24"/>
          <w:szCs w:val="24"/>
        </w:rPr>
        <w:t xml:space="preserve"> Rendelet </w:t>
      </w:r>
      <w:r w:rsidR="00C36600" w:rsidRPr="008C3921">
        <w:rPr>
          <w:rFonts w:ascii="Times New Roman" w:hAnsi="Times New Roman"/>
          <w:sz w:val="24"/>
          <w:szCs w:val="24"/>
        </w:rPr>
        <w:t>10</w:t>
      </w:r>
      <w:r w:rsidR="00BF252B" w:rsidRPr="008C3921">
        <w:rPr>
          <w:rFonts w:ascii="Times New Roman" w:hAnsi="Times New Roman"/>
          <w:sz w:val="24"/>
          <w:szCs w:val="24"/>
        </w:rPr>
        <w:t>.§ (</w:t>
      </w:r>
      <w:r w:rsidR="00C36600" w:rsidRPr="008C3921">
        <w:rPr>
          <w:rFonts w:ascii="Times New Roman" w:hAnsi="Times New Roman"/>
          <w:sz w:val="24"/>
          <w:szCs w:val="24"/>
        </w:rPr>
        <w:t>1</w:t>
      </w:r>
      <w:r w:rsidR="00BF252B" w:rsidRPr="008C3921">
        <w:rPr>
          <w:rFonts w:ascii="Times New Roman" w:hAnsi="Times New Roman"/>
          <w:sz w:val="24"/>
          <w:szCs w:val="24"/>
        </w:rPr>
        <w:t>)</w:t>
      </w:r>
      <w:r w:rsidR="00842BC8">
        <w:rPr>
          <w:rFonts w:ascii="Times New Roman" w:hAnsi="Times New Roman"/>
          <w:sz w:val="24"/>
          <w:szCs w:val="24"/>
        </w:rPr>
        <w:t xml:space="preserve"> bekezdés</w:t>
      </w:r>
      <w:r w:rsidR="00BF252B" w:rsidRPr="008C3921">
        <w:rPr>
          <w:rFonts w:ascii="Times New Roman" w:hAnsi="Times New Roman"/>
          <w:sz w:val="24"/>
          <w:szCs w:val="24"/>
        </w:rPr>
        <w:t xml:space="preserve"> </w:t>
      </w:r>
      <w:r w:rsidR="00BA4048">
        <w:rPr>
          <w:rFonts w:ascii="Times New Roman" w:hAnsi="Times New Roman"/>
          <w:sz w:val="24"/>
          <w:szCs w:val="24"/>
        </w:rPr>
        <w:t>a)</w:t>
      </w:r>
      <w:r w:rsidR="00842BC8">
        <w:rPr>
          <w:rFonts w:ascii="Times New Roman" w:hAnsi="Times New Roman"/>
          <w:sz w:val="24"/>
          <w:szCs w:val="24"/>
        </w:rPr>
        <w:t xml:space="preserve"> pontja</w:t>
      </w:r>
      <w:r w:rsidR="00BA4048">
        <w:rPr>
          <w:rFonts w:ascii="Times New Roman" w:hAnsi="Times New Roman"/>
          <w:sz w:val="24"/>
          <w:szCs w:val="24"/>
        </w:rPr>
        <w:t xml:space="preserve">, </w:t>
      </w:r>
      <w:r w:rsidR="00BA4048" w:rsidRPr="008C3921">
        <w:rPr>
          <w:rFonts w:ascii="Times New Roman" w:hAnsi="Times New Roman"/>
          <w:sz w:val="24"/>
          <w:szCs w:val="24"/>
        </w:rPr>
        <w:t>10.§ (2)</w:t>
      </w:r>
      <w:r w:rsidR="00842BC8">
        <w:rPr>
          <w:rFonts w:ascii="Times New Roman" w:hAnsi="Times New Roman"/>
          <w:sz w:val="24"/>
          <w:szCs w:val="24"/>
        </w:rPr>
        <w:t xml:space="preserve"> bekezdés </w:t>
      </w:r>
      <w:r w:rsidR="00BA4048" w:rsidRPr="008C3921">
        <w:rPr>
          <w:rFonts w:ascii="Times New Roman" w:hAnsi="Times New Roman"/>
          <w:sz w:val="24"/>
          <w:szCs w:val="24"/>
        </w:rPr>
        <w:t>a)</w:t>
      </w:r>
      <w:r w:rsidR="00BA4048">
        <w:rPr>
          <w:rFonts w:ascii="Times New Roman" w:hAnsi="Times New Roman"/>
          <w:sz w:val="24"/>
          <w:szCs w:val="24"/>
        </w:rPr>
        <w:t xml:space="preserve"> pontja, 36.§ (2)</w:t>
      </w:r>
      <w:r w:rsidR="00842BC8">
        <w:rPr>
          <w:rFonts w:ascii="Times New Roman" w:hAnsi="Times New Roman"/>
          <w:sz w:val="24"/>
          <w:szCs w:val="24"/>
        </w:rPr>
        <w:t xml:space="preserve"> bekezdése</w:t>
      </w:r>
      <w:r w:rsidR="00B141A5">
        <w:rPr>
          <w:rFonts w:ascii="Times New Roman" w:hAnsi="Times New Roman"/>
          <w:sz w:val="24"/>
          <w:szCs w:val="24"/>
        </w:rPr>
        <w:t xml:space="preserve"> és az</w:t>
      </w:r>
      <w:r w:rsidR="00BA4048">
        <w:rPr>
          <w:rFonts w:ascii="Times New Roman" w:hAnsi="Times New Roman"/>
          <w:sz w:val="24"/>
          <w:szCs w:val="24"/>
        </w:rPr>
        <w:t xml:space="preserve"> </w:t>
      </w:r>
      <w:r w:rsidR="00BA4048" w:rsidRPr="008C3921">
        <w:rPr>
          <w:rFonts w:ascii="Times New Roman" w:hAnsi="Times New Roman"/>
          <w:sz w:val="24"/>
          <w:szCs w:val="24"/>
        </w:rPr>
        <w:t>50.§ (8)</w:t>
      </w:r>
      <w:r w:rsidR="00842BC8">
        <w:rPr>
          <w:rFonts w:ascii="Times New Roman" w:hAnsi="Times New Roman"/>
          <w:sz w:val="24"/>
          <w:szCs w:val="24"/>
        </w:rPr>
        <w:t xml:space="preserve"> bekezdése</w:t>
      </w:r>
      <w:r w:rsidR="00B141A5">
        <w:rPr>
          <w:rFonts w:ascii="Times New Roman" w:hAnsi="Times New Roman"/>
          <w:sz w:val="24"/>
          <w:szCs w:val="24"/>
        </w:rPr>
        <w:t>.</w:t>
      </w:r>
    </w:p>
    <w:p w:rsidR="00F542BC" w:rsidRDefault="00F542BC" w:rsidP="00816DED">
      <w:pPr>
        <w:spacing w:after="0" w:line="240" w:lineRule="auto"/>
        <w:rPr>
          <w:rFonts w:ascii="Times New Roman" w:hAnsi="Times New Roman" w:cs="Times New Roman"/>
          <w:sz w:val="24"/>
          <w:szCs w:val="24"/>
        </w:rPr>
      </w:pPr>
    </w:p>
    <w:p w:rsidR="00F542BC" w:rsidRPr="00B50467" w:rsidRDefault="007D7C37" w:rsidP="00F542B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26</w:t>
      </w:r>
      <w:r w:rsidR="00F542BC" w:rsidRPr="00B50467">
        <w:rPr>
          <w:rFonts w:ascii="Times New Roman" w:hAnsi="Times New Roman" w:cs="Times New Roman"/>
          <w:b/>
          <w:color w:val="000000"/>
          <w:sz w:val="24"/>
          <w:szCs w:val="24"/>
        </w:rPr>
        <w:t>.§</w:t>
      </w:r>
    </w:p>
    <w:p w:rsidR="00F542BC" w:rsidRPr="00B50467" w:rsidRDefault="00F542BC" w:rsidP="00F542BC">
      <w:pPr>
        <w:autoSpaceDE w:val="0"/>
        <w:autoSpaceDN w:val="0"/>
        <w:adjustRightInd w:val="0"/>
        <w:spacing w:after="0" w:line="240" w:lineRule="auto"/>
        <w:jc w:val="center"/>
        <w:rPr>
          <w:rFonts w:ascii="Times New Roman" w:hAnsi="Times New Roman" w:cs="Times New Roman"/>
          <w:color w:val="000000"/>
          <w:sz w:val="24"/>
          <w:szCs w:val="24"/>
        </w:rPr>
      </w:pPr>
    </w:p>
    <w:p w:rsidR="006144E1" w:rsidRDefault="00842BC8" w:rsidP="00F542BC">
      <w:pPr>
        <w:pStyle w:val="Nincstrkz"/>
        <w:ind w:left="-284" w:right="-425"/>
        <w:rPr>
          <w:rFonts w:ascii="Times New Roman" w:hAnsi="Times New Roman"/>
          <w:sz w:val="24"/>
          <w:szCs w:val="24"/>
        </w:rPr>
      </w:pPr>
      <w:r>
        <w:rPr>
          <w:rFonts w:ascii="Times New Roman" w:hAnsi="Times New Roman"/>
          <w:sz w:val="24"/>
          <w:szCs w:val="24"/>
        </w:rPr>
        <w:t>A Rendelet</w:t>
      </w:r>
      <w:r w:rsidR="006144E1">
        <w:rPr>
          <w:rFonts w:ascii="Times New Roman" w:hAnsi="Times New Roman"/>
          <w:sz w:val="24"/>
          <w:szCs w:val="24"/>
        </w:rPr>
        <w:t xml:space="preserve"> </w:t>
      </w:r>
      <w:r w:rsidR="006144E1" w:rsidRPr="00B50467">
        <w:rPr>
          <w:rFonts w:ascii="Times New Roman" w:hAnsi="Times New Roman"/>
          <w:sz w:val="24"/>
          <w:szCs w:val="24"/>
        </w:rPr>
        <w:t>1. melléklet</w:t>
      </w:r>
      <w:r w:rsidR="006144E1">
        <w:rPr>
          <w:rFonts w:ascii="Times New Roman" w:hAnsi="Times New Roman"/>
          <w:sz w:val="24"/>
          <w:szCs w:val="24"/>
        </w:rPr>
        <w:t xml:space="preserve">e </w:t>
      </w:r>
      <w:r w:rsidR="0010029C">
        <w:rPr>
          <w:rFonts w:ascii="Times New Roman" w:hAnsi="Times New Roman"/>
          <w:sz w:val="24"/>
          <w:szCs w:val="24"/>
        </w:rPr>
        <w:t>az</w:t>
      </w:r>
      <w:r w:rsidR="00ED4CBC">
        <w:rPr>
          <w:rFonts w:ascii="Times New Roman" w:hAnsi="Times New Roman"/>
          <w:sz w:val="24"/>
          <w:szCs w:val="24"/>
        </w:rPr>
        <w:t xml:space="preserve"> 1. m</w:t>
      </w:r>
      <w:r w:rsidR="006144E1" w:rsidRPr="00B50467">
        <w:rPr>
          <w:rFonts w:ascii="Times New Roman" w:hAnsi="Times New Roman"/>
          <w:sz w:val="24"/>
          <w:szCs w:val="24"/>
        </w:rPr>
        <w:t>elléklet</w:t>
      </w:r>
      <w:r w:rsidR="00ED4CBC">
        <w:rPr>
          <w:rFonts w:ascii="Times New Roman" w:hAnsi="Times New Roman"/>
          <w:sz w:val="24"/>
          <w:szCs w:val="24"/>
        </w:rPr>
        <w:t xml:space="preserve"> szerint módosul</w:t>
      </w:r>
      <w:r w:rsidR="006144E1">
        <w:rPr>
          <w:rFonts w:ascii="Times New Roman" w:hAnsi="Times New Roman"/>
          <w:sz w:val="24"/>
          <w:szCs w:val="24"/>
        </w:rPr>
        <w:t>.</w:t>
      </w:r>
    </w:p>
    <w:p w:rsidR="00F542BC" w:rsidRPr="00B50467" w:rsidRDefault="00F542BC" w:rsidP="00F542BC">
      <w:pPr>
        <w:pStyle w:val="Nincstrkz"/>
        <w:ind w:left="-284" w:right="-425"/>
        <w:rPr>
          <w:rFonts w:ascii="Times New Roman" w:hAnsi="Times New Roman"/>
          <w:sz w:val="24"/>
          <w:szCs w:val="24"/>
        </w:rPr>
      </w:pPr>
    </w:p>
    <w:p w:rsidR="00F542BC" w:rsidRDefault="007D7C37" w:rsidP="00F542BC">
      <w:pPr>
        <w:pStyle w:val="Nincstrkz"/>
        <w:ind w:right="-425" w:hanging="567"/>
        <w:jc w:val="center"/>
        <w:rPr>
          <w:rFonts w:ascii="Times New Roman" w:hAnsi="Times New Roman"/>
          <w:b/>
          <w:sz w:val="24"/>
          <w:szCs w:val="24"/>
        </w:rPr>
      </w:pPr>
      <w:r>
        <w:rPr>
          <w:rFonts w:ascii="Times New Roman" w:hAnsi="Times New Roman"/>
          <w:b/>
          <w:sz w:val="24"/>
          <w:szCs w:val="24"/>
        </w:rPr>
        <w:t>27</w:t>
      </w:r>
      <w:r w:rsidR="00F542BC" w:rsidRPr="00B50467">
        <w:rPr>
          <w:rFonts w:ascii="Times New Roman" w:hAnsi="Times New Roman"/>
          <w:b/>
          <w:sz w:val="24"/>
          <w:szCs w:val="24"/>
        </w:rPr>
        <w:t>. §</w:t>
      </w:r>
    </w:p>
    <w:p w:rsidR="00360FA3" w:rsidRPr="00B50467" w:rsidRDefault="00360FA3" w:rsidP="00F542BC">
      <w:pPr>
        <w:pStyle w:val="Nincstrkz"/>
        <w:ind w:right="-425" w:hanging="567"/>
        <w:jc w:val="center"/>
        <w:rPr>
          <w:rFonts w:ascii="Times New Roman" w:hAnsi="Times New Roman"/>
          <w:b/>
          <w:sz w:val="24"/>
          <w:szCs w:val="24"/>
        </w:rPr>
      </w:pPr>
    </w:p>
    <w:p w:rsidR="006144E1" w:rsidRDefault="00842BC8" w:rsidP="006144E1">
      <w:pPr>
        <w:pStyle w:val="Nincstrkz"/>
        <w:ind w:left="-284" w:right="-425"/>
        <w:rPr>
          <w:rFonts w:ascii="Times New Roman" w:hAnsi="Times New Roman"/>
          <w:sz w:val="24"/>
          <w:szCs w:val="24"/>
        </w:rPr>
      </w:pPr>
      <w:r>
        <w:rPr>
          <w:rFonts w:ascii="Times New Roman" w:hAnsi="Times New Roman"/>
          <w:sz w:val="24"/>
          <w:szCs w:val="24"/>
        </w:rPr>
        <w:t>A R</w:t>
      </w:r>
      <w:r w:rsidR="006144E1">
        <w:rPr>
          <w:rFonts w:ascii="Times New Roman" w:hAnsi="Times New Roman"/>
          <w:sz w:val="24"/>
          <w:szCs w:val="24"/>
        </w:rPr>
        <w:t>endelet 2</w:t>
      </w:r>
      <w:r w:rsidR="006144E1" w:rsidRPr="00B50467">
        <w:rPr>
          <w:rFonts w:ascii="Times New Roman" w:hAnsi="Times New Roman"/>
          <w:sz w:val="24"/>
          <w:szCs w:val="24"/>
        </w:rPr>
        <w:t>. melléklet</w:t>
      </w:r>
      <w:r w:rsidR="00A925B9">
        <w:rPr>
          <w:rFonts w:ascii="Times New Roman" w:hAnsi="Times New Roman"/>
          <w:sz w:val="24"/>
          <w:szCs w:val="24"/>
        </w:rPr>
        <w:t xml:space="preserve">e </w:t>
      </w:r>
      <w:r w:rsidR="006144E1">
        <w:rPr>
          <w:rFonts w:ascii="Times New Roman" w:hAnsi="Times New Roman"/>
          <w:sz w:val="24"/>
          <w:szCs w:val="24"/>
        </w:rPr>
        <w:t>helyébe a</w:t>
      </w:r>
      <w:r w:rsidR="006144E1" w:rsidRPr="00B50467">
        <w:rPr>
          <w:rFonts w:ascii="Times New Roman" w:hAnsi="Times New Roman"/>
          <w:sz w:val="24"/>
          <w:szCs w:val="24"/>
        </w:rPr>
        <w:t xml:space="preserve"> </w:t>
      </w:r>
      <w:r w:rsidR="006144E1">
        <w:rPr>
          <w:rFonts w:ascii="Times New Roman" w:hAnsi="Times New Roman"/>
          <w:sz w:val="24"/>
          <w:szCs w:val="24"/>
        </w:rPr>
        <w:t>2</w:t>
      </w:r>
      <w:r w:rsidR="006144E1" w:rsidRPr="00B50467">
        <w:rPr>
          <w:rFonts w:ascii="Times New Roman" w:hAnsi="Times New Roman"/>
          <w:sz w:val="24"/>
          <w:szCs w:val="24"/>
        </w:rPr>
        <w:t>. melléklet</w:t>
      </w:r>
      <w:r w:rsidR="006144E1">
        <w:rPr>
          <w:rFonts w:ascii="Times New Roman" w:hAnsi="Times New Roman"/>
          <w:sz w:val="24"/>
          <w:szCs w:val="24"/>
        </w:rPr>
        <w:t xml:space="preserve"> lép.</w:t>
      </w:r>
    </w:p>
    <w:p w:rsidR="00F542BC" w:rsidRPr="00B50467" w:rsidRDefault="00F542BC" w:rsidP="00F542BC">
      <w:pPr>
        <w:pStyle w:val="Nincstrkz"/>
        <w:ind w:left="-284" w:right="-425"/>
        <w:rPr>
          <w:rFonts w:ascii="Times New Roman" w:hAnsi="Times New Roman"/>
          <w:sz w:val="24"/>
          <w:szCs w:val="24"/>
        </w:rPr>
      </w:pPr>
    </w:p>
    <w:p w:rsidR="00F542BC" w:rsidRPr="00B50467" w:rsidRDefault="007D7C37" w:rsidP="00F542BC">
      <w:pPr>
        <w:autoSpaceDE w:val="0"/>
        <w:autoSpaceDN w:val="0"/>
        <w:adjustRightInd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28</w:t>
      </w:r>
      <w:r w:rsidR="00F542BC" w:rsidRPr="00B50467">
        <w:rPr>
          <w:rFonts w:ascii="Times New Roman" w:hAnsi="Times New Roman" w:cs="Times New Roman"/>
          <w:b/>
          <w:color w:val="000000"/>
          <w:sz w:val="24"/>
          <w:szCs w:val="24"/>
        </w:rPr>
        <w:t xml:space="preserve">. § </w:t>
      </w:r>
    </w:p>
    <w:p w:rsidR="00F542BC" w:rsidRPr="00B50467" w:rsidRDefault="00F542BC" w:rsidP="00F542BC">
      <w:pPr>
        <w:autoSpaceDE w:val="0"/>
        <w:autoSpaceDN w:val="0"/>
        <w:adjustRightInd w:val="0"/>
        <w:spacing w:after="0" w:line="240" w:lineRule="auto"/>
        <w:jc w:val="center"/>
        <w:rPr>
          <w:rFonts w:ascii="Times New Roman" w:hAnsi="Times New Roman" w:cs="Times New Roman"/>
          <w:b/>
          <w:color w:val="000000"/>
          <w:sz w:val="24"/>
          <w:szCs w:val="24"/>
        </w:rPr>
      </w:pPr>
    </w:p>
    <w:p w:rsidR="00F542BC" w:rsidRPr="00B50467" w:rsidRDefault="00F542BC" w:rsidP="00F542BC">
      <w:pPr>
        <w:pStyle w:val="Nincstrkz"/>
        <w:ind w:left="-284" w:right="-425"/>
        <w:rPr>
          <w:rFonts w:ascii="Times New Roman" w:hAnsi="Times New Roman"/>
          <w:sz w:val="24"/>
          <w:szCs w:val="24"/>
        </w:rPr>
      </w:pPr>
      <w:r w:rsidRPr="00B50467">
        <w:rPr>
          <w:rFonts w:ascii="Times New Roman" w:hAnsi="Times New Roman"/>
          <w:sz w:val="24"/>
          <w:szCs w:val="24"/>
        </w:rPr>
        <w:t xml:space="preserve">Ez a rendelet a kihirdetését követő </w:t>
      </w:r>
      <w:r w:rsidR="00966852">
        <w:rPr>
          <w:rFonts w:ascii="Times New Roman" w:hAnsi="Times New Roman"/>
          <w:sz w:val="24"/>
          <w:szCs w:val="24"/>
        </w:rPr>
        <w:t xml:space="preserve">15. </w:t>
      </w:r>
      <w:r w:rsidRPr="00B50467">
        <w:rPr>
          <w:rFonts w:ascii="Times New Roman" w:hAnsi="Times New Roman"/>
          <w:sz w:val="24"/>
          <w:szCs w:val="24"/>
        </w:rPr>
        <w:t>napon lép hatályba.</w:t>
      </w:r>
    </w:p>
    <w:p w:rsidR="00F542BC" w:rsidRDefault="00F542BC" w:rsidP="00F542BC">
      <w:pPr>
        <w:pStyle w:val="Nincstrkz"/>
        <w:rPr>
          <w:rFonts w:ascii="Times New Roman" w:hAnsi="Times New Roman"/>
          <w:sz w:val="24"/>
          <w:szCs w:val="24"/>
        </w:rPr>
      </w:pPr>
    </w:p>
    <w:p w:rsidR="008E1CBD" w:rsidRDefault="00842BC8" w:rsidP="00842BC8">
      <w:pPr>
        <w:pStyle w:val="Nincstrkz"/>
        <w:ind w:left="1416"/>
        <w:rPr>
          <w:rFonts w:ascii="Times New Roman" w:hAnsi="Times New Roman"/>
          <w:b/>
          <w:sz w:val="24"/>
          <w:szCs w:val="24"/>
        </w:rPr>
      </w:pPr>
      <w:r w:rsidRPr="00B50467">
        <w:rPr>
          <w:rFonts w:ascii="Times New Roman" w:hAnsi="Times New Roman"/>
          <w:b/>
          <w:sz w:val="24"/>
          <w:szCs w:val="24"/>
        </w:rPr>
        <w:t xml:space="preserve">Dr. Zalán Gábor s. </w:t>
      </w:r>
      <w:proofErr w:type="gramStart"/>
      <w:r w:rsidRPr="00B50467">
        <w:rPr>
          <w:rFonts w:ascii="Times New Roman" w:hAnsi="Times New Roman"/>
          <w:b/>
          <w:sz w:val="24"/>
          <w:szCs w:val="24"/>
        </w:rPr>
        <w:t>k.</w:t>
      </w:r>
      <w:proofErr w:type="gramEnd"/>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F542BC" w:rsidRPr="00B50467">
        <w:rPr>
          <w:rFonts w:ascii="Times New Roman" w:hAnsi="Times New Roman"/>
          <w:b/>
          <w:sz w:val="24"/>
          <w:szCs w:val="24"/>
        </w:rPr>
        <w:t xml:space="preserve">Básthy Béla s. </w:t>
      </w:r>
      <w:proofErr w:type="gramStart"/>
      <w:r w:rsidR="00F542BC" w:rsidRPr="00B50467">
        <w:rPr>
          <w:rFonts w:ascii="Times New Roman" w:hAnsi="Times New Roman"/>
          <w:b/>
          <w:sz w:val="24"/>
          <w:szCs w:val="24"/>
        </w:rPr>
        <w:t>k.</w:t>
      </w:r>
      <w:proofErr w:type="gramEnd"/>
      <w:r w:rsidR="00F542BC" w:rsidRPr="00B50467">
        <w:rPr>
          <w:rFonts w:ascii="Times New Roman" w:hAnsi="Times New Roman"/>
          <w:b/>
          <w:sz w:val="24"/>
          <w:szCs w:val="24"/>
        </w:rPr>
        <w:tab/>
      </w:r>
    </w:p>
    <w:p w:rsidR="00AE71EF" w:rsidRDefault="003D2E3A" w:rsidP="00816DE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jegyző</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polgármester</w:t>
      </w:r>
    </w:p>
    <w:p w:rsidR="00AE71EF" w:rsidRDefault="00AE71EF" w:rsidP="00816DED">
      <w:pPr>
        <w:spacing w:after="0" w:line="240" w:lineRule="auto"/>
        <w:rPr>
          <w:rFonts w:ascii="Times New Roman" w:hAnsi="Times New Roman" w:cs="Times New Roman"/>
          <w:sz w:val="24"/>
          <w:szCs w:val="24"/>
        </w:rPr>
      </w:pPr>
    </w:p>
    <w:p w:rsidR="00495F2B" w:rsidRDefault="00495F2B">
      <w:pPr>
        <w:rPr>
          <w:rFonts w:ascii="Times New Roman" w:hAnsi="Times New Roman" w:cs="Times New Roman"/>
          <w:b/>
          <w:sz w:val="32"/>
          <w:szCs w:val="32"/>
        </w:rPr>
      </w:pPr>
      <w:r>
        <w:rPr>
          <w:rFonts w:ascii="Times New Roman" w:hAnsi="Times New Roman" w:cs="Times New Roman"/>
          <w:b/>
          <w:sz w:val="32"/>
          <w:szCs w:val="32"/>
        </w:rPr>
        <w:br w:type="page"/>
      </w:r>
    </w:p>
    <w:p w:rsidR="00AE71EF" w:rsidRDefault="00AE71EF" w:rsidP="00AE71EF">
      <w:pPr>
        <w:spacing w:after="0" w:line="240" w:lineRule="auto"/>
        <w:ind w:left="-284"/>
        <w:jc w:val="center"/>
        <w:rPr>
          <w:rFonts w:ascii="Times New Roman" w:hAnsi="Times New Roman" w:cs="Times New Roman"/>
          <w:b/>
          <w:sz w:val="32"/>
          <w:szCs w:val="32"/>
        </w:rPr>
      </w:pPr>
    </w:p>
    <w:p w:rsidR="00430079" w:rsidRDefault="009D5033">
      <w:pPr>
        <w:rPr>
          <w:rFonts w:ascii="Times New Roman" w:hAnsi="Times New Roman" w:cs="Times New Roman"/>
          <w:b/>
          <w:sz w:val="24"/>
          <w:szCs w:val="24"/>
        </w:rPr>
      </w:pPr>
      <w:r w:rsidRPr="009D5033">
        <w:rPr>
          <w:rFonts w:ascii="Times New Roman" w:hAnsi="Times New Roman" w:cs="Times New Roman"/>
          <w:b/>
          <w:sz w:val="24"/>
          <w:szCs w:val="24"/>
        </w:rPr>
        <w:t xml:space="preserve"> 1.</w:t>
      </w:r>
      <w:r w:rsidR="00495F2B" w:rsidRPr="00495F2B">
        <w:rPr>
          <w:rFonts w:ascii="Times New Roman" w:hAnsi="Times New Roman" w:cs="Times New Roman"/>
          <w:b/>
          <w:sz w:val="24"/>
          <w:szCs w:val="24"/>
        </w:rPr>
        <w:t xml:space="preserve"> </w:t>
      </w:r>
      <w:r w:rsidRPr="009D5033">
        <w:rPr>
          <w:rFonts w:ascii="Times New Roman" w:hAnsi="Times New Roman" w:cs="Times New Roman"/>
          <w:b/>
          <w:sz w:val="24"/>
          <w:szCs w:val="24"/>
        </w:rPr>
        <w:t>melléklet</w:t>
      </w:r>
      <w:r w:rsidR="00495F2B" w:rsidRPr="00495F2B">
        <w:rPr>
          <w:rFonts w:ascii="Times New Roman" w:hAnsi="Times New Roman" w:cs="Times New Roman"/>
          <w:b/>
          <w:sz w:val="24"/>
          <w:szCs w:val="24"/>
        </w:rPr>
        <w:t xml:space="preserve"> </w:t>
      </w:r>
      <w:proofErr w:type="gramStart"/>
      <w:r w:rsidRPr="009D5033">
        <w:rPr>
          <w:rFonts w:ascii="Times New Roman" w:hAnsi="Times New Roman" w:cs="Times New Roman"/>
          <w:b/>
          <w:sz w:val="24"/>
          <w:szCs w:val="24"/>
        </w:rPr>
        <w:t>a …</w:t>
      </w:r>
      <w:proofErr w:type="gramEnd"/>
      <w:r w:rsidRPr="009D5033">
        <w:rPr>
          <w:rFonts w:ascii="Times New Roman" w:hAnsi="Times New Roman" w:cs="Times New Roman"/>
          <w:b/>
          <w:sz w:val="24"/>
          <w:szCs w:val="24"/>
        </w:rPr>
        <w:t>…./2022. (……..) önkormányzati rendelethez</w:t>
      </w:r>
    </w:p>
    <w:p w:rsidR="00430079" w:rsidRDefault="00495F2B">
      <w:pPr>
        <w:spacing w:after="0" w:line="259" w:lineRule="auto"/>
        <w:ind w:left="-284"/>
        <w:rPr>
          <w:rFonts w:ascii="Times New Roman" w:eastAsia="Times New Roman" w:hAnsi="Times New Roman" w:cs="Times New Roman"/>
          <w:b/>
          <w:color w:val="000000"/>
          <w:sz w:val="24"/>
          <w:lang w:eastAsia="hu-HU"/>
        </w:rPr>
      </w:pPr>
      <w:r>
        <w:rPr>
          <w:rFonts w:ascii="Times New Roman" w:hAnsi="Times New Roman" w:cs="Times New Roman"/>
          <w:sz w:val="24"/>
          <w:szCs w:val="24"/>
        </w:rPr>
        <w:t>„</w:t>
      </w:r>
      <w:r w:rsidRPr="00495F2B">
        <w:rPr>
          <w:rFonts w:ascii="Times New Roman" w:eastAsia="Times New Roman" w:hAnsi="Times New Roman" w:cs="Times New Roman"/>
          <w:b/>
          <w:color w:val="000000"/>
          <w:sz w:val="24"/>
          <w:lang w:eastAsia="hu-HU"/>
        </w:rPr>
        <w:t>1. melléklet a 33/2014. (X. 3.) önkormányzati rendelethez</w:t>
      </w:r>
    </w:p>
    <w:p w:rsidR="00AE71EF" w:rsidRDefault="00AE71EF" w:rsidP="00816DED">
      <w:pPr>
        <w:spacing w:after="0" w:line="240" w:lineRule="auto"/>
        <w:rPr>
          <w:rFonts w:ascii="Times New Roman" w:hAnsi="Times New Roman" w:cs="Times New Roman"/>
          <w:sz w:val="24"/>
          <w:szCs w:val="24"/>
        </w:rPr>
      </w:pPr>
    </w:p>
    <w:p w:rsidR="00AE71EF" w:rsidRDefault="00B07670" w:rsidP="00816DE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Tervlapokon: Az 1. </w:t>
      </w:r>
      <w:proofErr w:type="gramStart"/>
      <w:r>
        <w:rPr>
          <w:rFonts w:ascii="Times New Roman" w:hAnsi="Times New Roman" w:cs="Times New Roman"/>
          <w:sz w:val="24"/>
          <w:szCs w:val="24"/>
        </w:rPr>
        <w:t>melléklet …</w:t>
      </w:r>
      <w:proofErr w:type="gramEnd"/>
      <w:r>
        <w:rPr>
          <w:rFonts w:ascii="Times New Roman" w:hAnsi="Times New Roman" w:cs="Times New Roman"/>
          <w:sz w:val="24"/>
          <w:szCs w:val="24"/>
        </w:rPr>
        <w:t>-es tervlapja helyébe a következő …-es tervlap lép.:</w:t>
      </w: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AE71EF" w:rsidRDefault="00AE71EF" w:rsidP="00816DED">
      <w:pPr>
        <w:spacing w:after="0" w:line="240" w:lineRule="auto"/>
        <w:rPr>
          <w:rFonts w:ascii="Times New Roman" w:hAnsi="Times New Roman" w:cs="Times New Roman"/>
          <w:sz w:val="24"/>
          <w:szCs w:val="24"/>
        </w:rPr>
      </w:pPr>
    </w:p>
    <w:p w:rsidR="00430079" w:rsidRDefault="009D5033">
      <w:pPr>
        <w:rPr>
          <w:rFonts w:ascii="Times New Roman" w:hAnsi="Times New Roman" w:cs="Times New Roman"/>
          <w:b/>
          <w:sz w:val="32"/>
          <w:szCs w:val="32"/>
        </w:rPr>
      </w:pPr>
      <w:r w:rsidRPr="009D5033">
        <w:rPr>
          <w:rFonts w:ascii="Times New Roman" w:hAnsi="Times New Roman" w:cs="Times New Roman"/>
          <w:b/>
          <w:sz w:val="24"/>
          <w:szCs w:val="24"/>
        </w:rPr>
        <w:t xml:space="preserve">2. melléklet </w:t>
      </w:r>
      <w:proofErr w:type="gramStart"/>
      <w:r w:rsidRPr="009D5033">
        <w:rPr>
          <w:rFonts w:ascii="Times New Roman" w:hAnsi="Times New Roman" w:cs="Times New Roman"/>
          <w:b/>
          <w:sz w:val="24"/>
          <w:szCs w:val="24"/>
        </w:rPr>
        <w:t>a …</w:t>
      </w:r>
      <w:proofErr w:type="gramEnd"/>
      <w:r w:rsidRPr="009D5033">
        <w:rPr>
          <w:rFonts w:ascii="Times New Roman" w:hAnsi="Times New Roman" w:cs="Times New Roman"/>
          <w:b/>
          <w:sz w:val="24"/>
          <w:szCs w:val="24"/>
        </w:rPr>
        <w:t>…./2022. (……..) önkormányzati rendelethez</w:t>
      </w:r>
    </w:p>
    <w:p w:rsidR="004250F1" w:rsidRDefault="003D2E3A" w:rsidP="003D2E3A">
      <w:pPr>
        <w:spacing w:after="0" w:line="259" w:lineRule="auto"/>
        <w:ind w:left="-284"/>
        <w:rPr>
          <w:rFonts w:ascii="Times New Roman" w:eastAsia="Times New Roman" w:hAnsi="Times New Roman" w:cs="Times New Roman"/>
          <w:b/>
          <w:color w:val="000000"/>
          <w:sz w:val="24"/>
          <w:lang w:eastAsia="hu-HU"/>
        </w:rPr>
      </w:pPr>
      <w:r>
        <w:rPr>
          <w:rFonts w:ascii="Times New Roman" w:eastAsia="Times New Roman" w:hAnsi="Times New Roman" w:cs="Times New Roman"/>
          <w:b/>
          <w:color w:val="000000"/>
          <w:sz w:val="24"/>
          <w:lang w:eastAsia="hu-HU"/>
        </w:rPr>
        <w:t>„</w:t>
      </w:r>
      <w:r w:rsidRPr="003D2E3A">
        <w:rPr>
          <w:rFonts w:ascii="Times New Roman" w:eastAsia="Times New Roman" w:hAnsi="Times New Roman" w:cs="Times New Roman"/>
          <w:b/>
          <w:color w:val="000000"/>
          <w:sz w:val="24"/>
          <w:lang w:eastAsia="hu-HU"/>
        </w:rPr>
        <w:t xml:space="preserve">2. melléklet </w:t>
      </w:r>
      <w:r w:rsidR="00872D56">
        <w:rPr>
          <w:rFonts w:ascii="Times New Roman" w:eastAsia="Times New Roman" w:hAnsi="Times New Roman" w:cs="Times New Roman"/>
          <w:b/>
          <w:color w:val="000000"/>
          <w:sz w:val="24"/>
          <w:lang w:eastAsia="hu-HU"/>
        </w:rPr>
        <w:t xml:space="preserve">a </w:t>
      </w:r>
      <w:r w:rsidRPr="003D2E3A">
        <w:rPr>
          <w:rFonts w:ascii="Times New Roman" w:eastAsia="Times New Roman" w:hAnsi="Times New Roman" w:cs="Times New Roman"/>
          <w:b/>
          <w:color w:val="000000"/>
          <w:sz w:val="24"/>
          <w:lang w:eastAsia="hu-HU"/>
        </w:rPr>
        <w:t>33/2014. (X. 3.) önkormányzati rendelethez</w:t>
      </w:r>
    </w:p>
    <w:p w:rsidR="003B59DB" w:rsidRDefault="003B59DB" w:rsidP="008319E7">
      <w:pPr>
        <w:spacing w:after="0" w:line="259" w:lineRule="auto"/>
        <w:ind w:left="-284"/>
      </w:pPr>
    </w:p>
    <w:sectPr w:rsidR="003B59DB" w:rsidSect="00190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F2D7C"/>
    <w:multiLevelType w:val="hybridMultilevel"/>
    <w:tmpl w:val="8D848D64"/>
    <w:lvl w:ilvl="0" w:tplc="9B1E790E">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1" w15:restartNumberingAfterBreak="0">
    <w:nsid w:val="09B87772"/>
    <w:multiLevelType w:val="hybridMultilevel"/>
    <w:tmpl w:val="095EB18A"/>
    <w:lvl w:ilvl="0" w:tplc="7128A114">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2" w15:restartNumberingAfterBreak="0">
    <w:nsid w:val="23B169C2"/>
    <w:multiLevelType w:val="hybridMultilevel"/>
    <w:tmpl w:val="31F60484"/>
    <w:lvl w:ilvl="0" w:tplc="E6FE4270">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3" w15:restartNumberingAfterBreak="0">
    <w:nsid w:val="3B834A8A"/>
    <w:multiLevelType w:val="hybridMultilevel"/>
    <w:tmpl w:val="52E6B2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41720F1"/>
    <w:multiLevelType w:val="hybridMultilevel"/>
    <w:tmpl w:val="E52694FE"/>
    <w:lvl w:ilvl="0" w:tplc="BF0826F4">
      <w:start w:val="1"/>
      <w:numFmt w:val="decimal"/>
      <w:lvlText w:val="%1."/>
      <w:lvlJc w:val="left"/>
      <w:pPr>
        <w:ind w:left="1312" w:hanging="1596"/>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abstractNum w:abstractNumId="5" w15:restartNumberingAfterBreak="0">
    <w:nsid w:val="71EC3A56"/>
    <w:multiLevelType w:val="hybridMultilevel"/>
    <w:tmpl w:val="8B501904"/>
    <w:lvl w:ilvl="0" w:tplc="08CCE1B8">
      <w:start w:val="1"/>
      <w:numFmt w:val="decimal"/>
      <w:lvlText w:val="(%1)"/>
      <w:lvlJc w:val="left"/>
      <w:pPr>
        <w:ind w:left="76" w:hanging="360"/>
      </w:pPr>
      <w:rPr>
        <w:rFonts w:hint="default"/>
      </w:rPr>
    </w:lvl>
    <w:lvl w:ilvl="1" w:tplc="040E0019" w:tentative="1">
      <w:start w:val="1"/>
      <w:numFmt w:val="lowerLetter"/>
      <w:lvlText w:val="%2."/>
      <w:lvlJc w:val="left"/>
      <w:pPr>
        <w:ind w:left="796" w:hanging="360"/>
      </w:pPr>
    </w:lvl>
    <w:lvl w:ilvl="2" w:tplc="040E001B" w:tentative="1">
      <w:start w:val="1"/>
      <w:numFmt w:val="lowerRoman"/>
      <w:lvlText w:val="%3."/>
      <w:lvlJc w:val="right"/>
      <w:pPr>
        <w:ind w:left="1516" w:hanging="180"/>
      </w:pPr>
    </w:lvl>
    <w:lvl w:ilvl="3" w:tplc="040E000F" w:tentative="1">
      <w:start w:val="1"/>
      <w:numFmt w:val="decimal"/>
      <w:lvlText w:val="%4."/>
      <w:lvlJc w:val="left"/>
      <w:pPr>
        <w:ind w:left="2236" w:hanging="360"/>
      </w:pPr>
    </w:lvl>
    <w:lvl w:ilvl="4" w:tplc="040E0019" w:tentative="1">
      <w:start w:val="1"/>
      <w:numFmt w:val="lowerLetter"/>
      <w:lvlText w:val="%5."/>
      <w:lvlJc w:val="left"/>
      <w:pPr>
        <w:ind w:left="2956" w:hanging="360"/>
      </w:pPr>
    </w:lvl>
    <w:lvl w:ilvl="5" w:tplc="040E001B" w:tentative="1">
      <w:start w:val="1"/>
      <w:numFmt w:val="lowerRoman"/>
      <w:lvlText w:val="%6."/>
      <w:lvlJc w:val="right"/>
      <w:pPr>
        <w:ind w:left="3676" w:hanging="180"/>
      </w:pPr>
    </w:lvl>
    <w:lvl w:ilvl="6" w:tplc="040E000F" w:tentative="1">
      <w:start w:val="1"/>
      <w:numFmt w:val="decimal"/>
      <w:lvlText w:val="%7."/>
      <w:lvlJc w:val="left"/>
      <w:pPr>
        <w:ind w:left="4396" w:hanging="360"/>
      </w:pPr>
    </w:lvl>
    <w:lvl w:ilvl="7" w:tplc="040E0019" w:tentative="1">
      <w:start w:val="1"/>
      <w:numFmt w:val="lowerLetter"/>
      <w:lvlText w:val="%8."/>
      <w:lvlJc w:val="left"/>
      <w:pPr>
        <w:ind w:left="5116" w:hanging="360"/>
      </w:pPr>
    </w:lvl>
    <w:lvl w:ilvl="8" w:tplc="040E001B" w:tentative="1">
      <w:start w:val="1"/>
      <w:numFmt w:val="lowerRoman"/>
      <w:lvlText w:val="%9."/>
      <w:lvlJc w:val="right"/>
      <w:pPr>
        <w:ind w:left="5836"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08"/>
  <w:hyphenationZone w:val="425"/>
  <w:characterSpacingControl w:val="doNotCompress"/>
  <w:compat>
    <w:compatSetting w:name="compatibilityMode" w:uri="http://schemas.microsoft.com/office/word" w:val="12"/>
  </w:compat>
  <w:rsids>
    <w:rsidRoot w:val="00F41277"/>
    <w:rsid w:val="000239B2"/>
    <w:rsid w:val="0002659C"/>
    <w:rsid w:val="00051F87"/>
    <w:rsid w:val="00063827"/>
    <w:rsid w:val="0007501D"/>
    <w:rsid w:val="000C353F"/>
    <w:rsid w:val="0010029C"/>
    <w:rsid w:val="0010102B"/>
    <w:rsid w:val="00125CC0"/>
    <w:rsid w:val="00141F5F"/>
    <w:rsid w:val="00154C80"/>
    <w:rsid w:val="00165B02"/>
    <w:rsid w:val="00190C0D"/>
    <w:rsid w:val="001D6EC1"/>
    <w:rsid w:val="00256F22"/>
    <w:rsid w:val="00257003"/>
    <w:rsid w:val="00270AF6"/>
    <w:rsid w:val="00271EF9"/>
    <w:rsid w:val="00272C31"/>
    <w:rsid w:val="00275D0F"/>
    <w:rsid w:val="00293971"/>
    <w:rsid w:val="00344F55"/>
    <w:rsid w:val="00360FA3"/>
    <w:rsid w:val="003958EE"/>
    <w:rsid w:val="003A27E2"/>
    <w:rsid w:val="003B59DB"/>
    <w:rsid w:val="003C0699"/>
    <w:rsid w:val="003D20C5"/>
    <w:rsid w:val="003D2E3A"/>
    <w:rsid w:val="003F032F"/>
    <w:rsid w:val="003F659A"/>
    <w:rsid w:val="004124BB"/>
    <w:rsid w:val="004250F1"/>
    <w:rsid w:val="00430079"/>
    <w:rsid w:val="00495F2B"/>
    <w:rsid w:val="004C575D"/>
    <w:rsid w:val="004D3D9C"/>
    <w:rsid w:val="004F0320"/>
    <w:rsid w:val="00507809"/>
    <w:rsid w:val="00531B00"/>
    <w:rsid w:val="0054046E"/>
    <w:rsid w:val="00543E52"/>
    <w:rsid w:val="005535B2"/>
    <w:rsid w:val="005A20AD"/>
    <w:rsid w:val="005D2E94"/>
    <w:rsid w:val="005E2946"/>
    <w:rsid w:val="005F3251"/>
    <w:rsid w:val="006061C5"/>
    <w:rsid w:val="00612108"/>
    <w:rsid w:val="006144E1"/>
    <w:rsid w:val="006230EB"/>
    <w:rsid w:val="00683AAE"/>
    <w:rsid w:val="006C73D5"/>
    <w:rsid w:val="006E2A0C"/>
    <w:rsid w:val="007807A1"/>
    <w:rsid w:val="007A3614"/>
    <w:rsid w:val="007D3289"/>
    <w:rsid w:val="007D7C37"/>
    <w:rsid w:val="007F78E9"/>
    <w:rsid w:val="0080458A"/>
    <w:rsid w:val="00816DED"/>
    <w:rsid w:val="00830915"/>
    <w:rsid w:val="008319E7"/>
    <w:rsid w:val="00842BC8"/>
    <w:rsid w:val="00862F86"/>
    <w:rsid w:val="00872D56"/>
    <w:rsid w:val="008764AC"/>
    <w:rsid w:val="00884B88"/>
    <w:rsid w:val="008C3921"/>
    <w:rsid w:val="008D5BFF"/>
    <w:rsid w:val="008E1CBD"/>
    <w:rsid w:val="008F620E"/>
    <w:rsid w:val="00900A1C"/>
    <w:rsid w:val="00916A17"/>
    <w:rsid w:val="009233B3"/>
    <w:rsid w:val="0095201E"/>
    <w:rsid w:val="00957084"/>
    <w:rsid w:val="00965355"/>
    <w:rsid w:val="00966852"/>
    <w:rsid w:val="009A6B7F"/>
    <w:rsid w:val="009C0288"/>
    <w:rsid w:val="009D5033"/>
    <w:rsid w:val="009E0FEF"/>
    <w:rsid w:val="00A10E75"/>
    <w:rsid w:val="00A26C99"/>
    <w:rsid w:val="00A54689"/>
    <w:rsid w:val="00A55EDF"/>
    <w:rsid w:val="00A91E81"/>
    <w:rsid w:val="00A925B9"/>
    <w:rsid w:val="00A97AE8"/>
    <w:rsid w:val="00AA3EB8"/>
    <w:rsid w:val="00AE71EF"/>
    <w:rsid w:val="00B00093"/>
    <w:rsid w:val="00B067E1"/>
    <w:rsid w:val="00B07670"/>
    <w:rsid w:val="00B141A5"/>
    <w:rsid w:val="00B156CB"/>
    <w:rsid w:val="00B32AF3"/>
    <w:rsid w:val="00B3634D"/>
    <w:rsid w:val="00B609C4"/>
    <w:rsid w:val="00B73D6A"/>
    <w:rsid w:val="00B96498"/>
    <w:rsid w:val="00B97D13"/>
    <w:rsid w:val="00BA1ED5"/>
    <w:rsid w:val="00BA4048"/>
    <w:rsid w:val="00BC76C1"/>
    <w:rsid w:val="00BD56D9"/>
    <w:rsid w:val="00BF252B"/>
    <w:rsid w:val="00BF7719"/>
    <w:rsid w:val="00C307FA"/>
    <w:rsid w:val="00C328E3"/>
    <w:rsid w:val="00C36600"/>
    <w:rsid w:val="00C53DE8"/>
    <w:rsid w:val="00C67F38"/>
    <w:rsid w:val="00CB67ED"/>
    <w:rsid w:val="00CC7B32"/>
    <w:rsid w:val="00CF4D77"/>
    <w:rsid w:val="00CF5589"/>
    <w:rsid w:val="00D070D3"/>
    <w:rsid w:val="00D14D76"/>
    <w:rsid w:val="00D24D1A"/>
    <w:rsid w:val="00D62CCC"/>
    <w:rsid w:val="00D82397"/>
    <w:rsid w:val="00D82ADE"/>
    <w:rsid w:val="00DA198D"/>
    <w:rsid w:val="00DA1AA3"/>
    <w:rsid w:val="00DC5A63"/>
    <w:rsid w:val="00DE7B9B"/>
    <w:rsid w:val="00E218F3"/>
    <w:rsid w:val="00E25516"/>
    <w:rsid w:val="00E742DB"/>
    <w:rsid w:val="00E90806"/>
    <w:rsid w:val="00E92CC4"/>
    <w:rsid w:val="00EC7A32"/>
    <w:rsid w:val="00ED4CBC"/>
    <w:rsid w:val="00F00F84"/>
    <w:rsid w:val="00F16901"/>
    <w:rsid w:val="00F41277"/>
    <w:rsid w:val="00F542BC"/>
    <w:rsid w:val="00F66BF2"/>
    <w:rsid w:val="00FB0FF0"/>
    <w:rsid w:val="00FE2C2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D50E71-0321-42D4-9FD1-78B6D7520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4127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F41277"/>
    <w:pPr>
      <w:spacing w:after="0" w:line="240" w:lineRule="auto"/>
    </w:pPr>
    <w:rPr>
      <w:rFonts w:ascii="Calibri" w:eastAsia="Calibri" w:hAnsi="Calibri" w:cs="Times New Roman"/>
    </w:rPr>
  </w:style>
  <w:style w:type="paragraph" w:customStyle="1" w:styleId="001sz-n">
    <w:name w:val="001 sz-n"/>
    <w:basedOn w:val="Norml"/>
    <w:link w:val="001sz-nChar"/>
    <w:qFormat/>
    <w:rsid w:val="00F41277"/>
    <w:pPr>
      <w:ind w:firstLine="284"/>
      <w:jc w:val="both"/>
    </w:pPr>
    <w:rPr>
      <w:rFonts w:ascii="Garamond" w:eastAsia="Times New Roman" w:hAnsi="Garamond" w:cs="Times New Roman"/>
      <w:sz w:val="20"/>
      <w:szCs w:val="20"/>
    </w:rPr>
  </w:style>
  <w:style w:type="character" w:customStyle="1" w:styleId="001sz-nChar">
    <w:name w:val="001 sz-n Char"/>
    <w:link w:val="001sz-n"/>
    <w:rsid w:val="00F41277"/>
    <w:rPr>
      <w:rFonts w:ascii="Garamond" w:eastAsia="Times New Roman" w:hAnsi="Garamond" w:cs="Times New Roman"/>
      <w:sz w:val="20"/>
      <w:szCs w:val="20"/>
    </w:rPr>
  </w:style>
  <w:style w:type="paragraph" w:customStyle="1" w:styleId="93c-fa11">
    <w:name w:val="93 c-fa11"/>
    <w:basedOn w:val="Norml"/>
    <w:link w:val="93c-fa11Char"/>
    <w:qFormat/>
    <w:rsid w:val="00F41277"/>
    <w:pPr>
      <w:pBdr>
        <w:bottom w:val="single" w:sz="4" w:space="1" w:color="auto"/>
      </w:pBdr>
      <w:spacing w:after="0" w:line="240" w:lineRule="auto"/>
      <w:ind w:right="-145" w:firstLine="284"/>
      <w:outlineLvl w:val="0"/>
    </w:pPr>
    <w:rPr>
      <w:rFonts w:ascii="Garamond" w:eastAsia="Times New Roman" w:hAnsi="Garamond" w:cs="Calibri"/>
      <w:b/>
      <w:bCs/>
      <w:iCs/>
      <w:caps/>
      <w:lang w:eastAsia="hu-HU"/>
    </w:rPr>
  </w:style>
  <w:style w:type="character" w:customStyle="1" w:styleId="93c-fa11Char">
    <w:name w:val="93 c-fa11 Char"/>
    <w:link w:val="93c-fa11"/>
    <w:rsid w:val="00F41277"/>
    <w:rPr>
      <w:rFonts w:ascii="Garamond" w:eastAsia="Times New Roman" w:hAnsi="Garamond" w:cs="Calibri"/>
      <w:b/>
      <w:bCs/>
      <w:iCs/>
      <w:caps/>
      <w:lang w:eastAsia="hu-HU"/>
    </w:rPr>
  </w:style>
  <w:style w:type="paragraph" w:styleId="NormlWeb">
    <w:name w:val="Normal (Web)"/>
    <w:basedOn w:val="Norml"/>
    <w:uiPriority w:val="99"/>
    <w:unhideWhenUsed/>
    <w:rsid w:val="00F4127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Listaszerbekezds">
    <w:name w:val="List Paragraph"/>
    <w:basedOn w:val="Norml"/>
    <w:uiPriority w:val="34"/>
    <w:qFormat/>
    <w:rsid w:val="00F41277"/>
    <w:pPr>
      <w:ind w:left="720"/>
      <w:contextualSpacing/>
    </w:pPr>
  </w:style>
  <w:style w:type="paragraph" w:customStyle="1" w:styleId="jnorml">
    <w:name w:val="jó_normál"/>
    <w:basedOn w:val="Norml"/>
    <w:rsid w:val="00B609C4"/>
    <w:pPr>
      <w:spacing w:after="0" w:line="312" w:lineRule="auto"/>
      <w:jc w:val="both"/>
    </w:pPr>
    <w:rPr>
      <w:rFonts w:ascii="Times New Roman" w:eastAsia="Times New Roman" w:hAnsi="Times New Roman" w:cs="Times New Roman"/>
      <w:sz w:val="24"/>
      <w:szCs w:val="24"/>
    </w:rPr>
  </w:style>
  <w:style w:type="paragraph" w:styleId="Vltozat">
    <w:name w:val="Revision"/>
    <w:hidden/>
    <w:uiPriority w:val="99"/>
    <w:semiHidden/>
    <w:rsid w:val="00CF5589"/>
    <w:pPr>
      <w:spacing w:after="0" w:line="240" w:lineRule="auto"/>
    </w:pPr>
  </w:style>
  <w:style w:type="paragraph" w:styleId="Buborkszveg">
    <w:name w:val="Balloon Text"/>
    <w:basedOn w:val="Norml"/>
    <w:link w:val="BuborkszvegChar"/>
    <w:uiPriority w:val="99"/>
    <w:semiHidden/>
    <w:unhideWhenUsed/>
    <w:rsid w:val="00DE7B9B"/>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E7B9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03F34-A8E8-4ADA-B1D9-3BAC2AF69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2440</Words>
  <Characters>16841</Characters>
  <Application>Microsoft Office Word</Application>
  <DocSecurity>0</DocSecurity>
  <Lines>140</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Takszi</dc:creator>
  <cp:lastModifiedBy>Bertók Sándor</cp:lastModifiedBy>
  <cp:revision>9</cp:revision>
  <cp:lastPrinted>2022-02-11T10:38:00Z</cp:lastPrinted>
  <dcterms:created xsi:type="dcterms:W3CDTF">2022-02-28T18:41:00Z</dcterms:created>
  <dcterms:modified xsi:type="dcterms:W3CDTF">2022-03-10T08:07:00Z</dcterms:modified>
</cp:coreProperties>
</file>